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022A3" w14:textId="77777777" w:rsidR="00584E07" w:rsidRDefault="00584E07" w:rsidP="00584E07">
      <w:pPr>
        <w:tabs>
          <w:tab w:val="left" w:pos="4905"/>
        </w:tabs>
        <w:jc w:val="center"/>
        <w:rPr>
          <w:rFonts w:cstheme="minorHAnsi"/>
          <w:b/>
          <w:bCs/>
          <w:color w:val="1F3864" w:themeColor="accent1" w:themeShade="80"/>
          <w:sz w:val="36"/>
        </w:rPr>
      </w:pPr>
      <w:bookmarkStart w:id="0" w:name="_Hlk167532027"/>
      <w:bookmarkStart w:id="1" w:name="_Hlk109823800"/>
      <w:bookmarkEnd w:id="0"/>
    </w:p>
    <w:p w14:paraId="655CD745" w14:textId="77777777" w:rsidR="001D5732" w:rsidRPr="00FC5B6A" w:rsidRDefault="00584E07" w:rsidP="00584E07">
      <w:pPr>
        <w:tabs>
          <w:tab w:val="left" w:pos="4905"/>
        </w:tabs>
        <w:jc w:val="center"/>
        <w:rPr>
          <w:rFonts w:cstheme="minorHAnsi"/>
          <w:b/>
          <w:bCs/>
          <w:color w:val="1F3864" w:themeColor="accent1" w:themeShade="80"/>
          <w:sz w:val="32"/>
          <w:szCs w:val="20"/>
        </w:rPr>
      </w:pPr>
      <w:r w:rsidRPr="00FC5B6A">
        <w:rPr>
          <w:rFonts w:cstheme="minorHAnsi"/>
          <w:b/>
          <w:bCs/>
          <w:color w:val="1F3864" w:themeColor="accent1" w:themeShade="80"/>
          <w:sz w:val="32"/>
          <w:szCs w:val="20"/>
        </w:rPr>
        <w:t>DOCUMENTO TÉCNICO DE SOPORTE PARA LA RESOLUCIÓN</w:t>
      </w:r>
    </w:p>
    <w:p w14:paraId="5B580D57" w14:textId="32905014" w:rsidR="00E02A1B" w:rsidRPr="00FC5B6A" w:rsidRDefault="00584E07" w:rsidP="00584E07">
      <w:pPr>
        <w:tabs>
          <w:tab w:val="left" w:pos="4905"/>
        </w:tabs>
        <w:jc w:val="center"/>
        <w:rPr>
          <w:rFonts w:cstheme="minorHAnsi"/>
          <w:b/>
          <w:bCs/>
          <w:color w:val="1F3864" w:themeColor="accent1" w:themeShade="80"/>
          <w:sz w:val="32"/>
          <w:szCs w:val="20"/>
        </w:rPr>
      </w:pPr>
      <w:r w:rsidRPr="00FC5B6A">
        <w:rPr>
          <w:rFonts w:cstheme="minorHAnsi"/>
          <w:b/>
          <w:bCs/>
          <w:color w:val="1F3864" w:themeColor="accent1" w:themeShade="80"/>
          <w:sz w:val="32"/>
          <w:szCs w:val="20"/>
        </w:rPr>
        <w:t xml:space="preserve"> </w:t>
      </w:r>
    </w:p>
    <w:p w14:paraId="6BCD7EA9" w14:textId="3BD3F30E" w:rsidR="00584E07" w:rsidRPr="00FC5B6A" w:rsidRDefault="001D5732" w:rsidP="00584E07">
      <w:pPr>
        <w:tabs>
          <w:tab w:val="left" w:pos="4905"/>
        </w:tabs>
        <w:jc w:val="center"/>
        <w:rPr>
          <w:rFonts w:cstheme="minorHAnsi"/>
          <w:b/>
          <w:bCs/>
          <w:i/>
          <w:iCs/>
          <w:color w:val="1F3864" w:themeColor="accent1" w:themeShade="80"/>
          <w:sz w:val="32"/>
          <w:szCs w:val="20"/>
        </w:rPr>
      </w:pPr>
      <w:r w:rsidRPr="00FC5B6A">
        <w:rPr>
          <w:rFonts w:cstheme="minorHAnsi"/>
          <w:b/>
          <w:bCs/>
          <w:i/>
          <w:iCs/>
          <w:color w:val="1F3864" w:themeColor="accent1" w:themeShade="80"/>
          <w:sz w:val="32"/>
          <w:szCs w:val="20"/>
        </w:rPr>
        <w:t>“</w:t>
      </w:r>
      <w:r w:rsidR="00CF14A1" w:rsidRPr="00FC5B6A">
        <w:rPr>
          <w:rFonts w:cstheme="minorHAnsi"/>
          <w:b/>
          <w:bCs/>
          <w:i/>
          <w:iCs/>
          <w:color w:val="1F3864" w:themeColor="accent1" w:themeShade="80"/>
          <w:sz w:val="32"/>
          <w:szCs w:val="20"/>
          <w:lang w:val="es-ES"/>
        </w:rPr>
        <w:t>Por la cual se establecen los lineamientos para el ordenamiento   del área de reserva forestal del Cocuy establecida por la Ley 2 de 1959 y se dictan otras disposiciones</w:t>
      </w:r>
      <w:r w:rsidRPr="00FC5B6A">
        <w:rPr>
          <w:rFonts w:cstheme="minorHAnsi"/>
          <w:b/>
          <w:bCs/>
          <w:i/>
          <w:iCs/>
          <w:color w:val="1F3864" w:themeColor="accent1" w:themeShade="80"/>
          <w:sz w:val="32"/>
          <w:szCs w:val="20"/>
        </w:rPr>
        <w:t xml:space="preserve">” </w:t>
      </w:r>
    </w:p>
    <w:bookmarkEnd w:id="1"/>
    <w:p w14:paraId="4581031E" w14:textId="77777777" w:rsidR="00584E07" w:rsidRPr="00FC5B6A" w:rsidRDefault="00584E07" w:rsidP="00584E07">
      <w:pPr>
        <w:tabs>
          <w:tab w:val="left" w:pos="4905"/>
        </w:tabs>
        <w:jc w:val="center"/>
        <w:rPr>
          <w:rFonts w:cstheme="minorHAnsi"/>
        </w:rPr>
      </w:pPr>
    </w:p>
    <w:p w14:paraId="01617B21" w14:textId="77777777" w:rsidR="00584E07" w:rsidRPr="00FC5B6A" w:rsidRDefault="00584E07" w:rsidP="00584E07">
      <w:pPr>
        <w:tabs>
          <w:tab w:val="left" w:pos="4905"/>
        </w:tabs>
        <w:jc w:val="center"/>
        <w:rPr>
          <w:rFonts w:cstheme="minorHAnsi"/>
        </w:rPr>
      </w:pPr>
    </w:p>
    <w:p w14:paraId="742EAF32" w14:textId="77777777" w:rsidR="00584E07" w:rsidRPr="00FC5B6A" w:rsidRDefault="00584E07" w:rsidP="001D5732">
      <w:pPr>
        <w:tabs>
          <w:tab w:val="left" w:pos="4905"/>
        </w:tabs>
        <w:rPr>
          <w:rFonts w:cstheme="minorHAnsi"/>
          <w:b/>
          <w:bCs/>
          <w:color w:val="1F3864" w:themeColor="accent1" w:themeShade="80"/>
          <w:sz w:val="36"/>
        </w:rPr>
      </w:pPr>
    </w:p>
    <w:p w14:paraId="6753B75A" w14:textId="77777777" w:rsidR="009D2702" w:rsidRPr="00FC5B6A" w:rsidRDefault="009D2702" w:rsidP="00584E07">
      <w:pPr>
        <w:pStyle w:val="Normal1"/>
        <w:tabs>
          <w:tab w:val="left" w:pos="8789"/>
        </w:tabs>
        <w:spacing w:after="0" w:line="240" w:lineRule="auto"/>
        <w:contextualSpacing/>
        <w:jc w:val="center"/>
        <w:rPr>
          <w:rFonts w:asciiTheme="minorHAnsi" w:eastAsiaTheme="minorHAnsi" w:hAnsiTheme="minorHAnsi" w:cstheme="minorHAnsi"/>
          <w:b/>
          <w:bCs/>
          <w:color w:val="1F3864" w:themeColor="accent1" w:themeShade="80"/>
          <w:kern w:val="2"/>
          <w:sz w:val="28"/>
          <w:szCs w:val="18"/>
          <w14:ligatures w14:val="standardContextual"/>
        </w:rPr>
      </w:pPr>
    </w:p>
    <w:p w14:paraId="0B313546" w14:textId="5824A0C0" w:rsidR="009D2702" w:rsidRPr="00FC5B6A" w:rsidRDefault="009D2702" w:rsidP="22DF84DA">
      <w:pPr>
        <w:pStyle w:val="Normal1"/>
        <w:tabs>
          <w:tab w:val="left" w:pos="8789"/>
        </w:tabs>
        <w:spacing w:after="0" w:line="240" w:lineRule="auto"/>
        <w:contextualSpacing/>
        <w:jc w:val="center"/>
        <w:rPr>
          <w:rFonts w:asciiTheme="minorHAnsi" w:eastAsiaTheme="minorEastAsia" w:hAnsiTheme="minorHAnsi" w:cstheme="minorBidi"/>
          <w:b/>
          <w:bCs/>
          <w:color w:val="1F3864" w:themeColor="accent1" w:themeShade="80"/>
          <w:kern w:val="2"/>
          <w:sz w:val="28"/>
          <w:szCs w:val="28"/>
          <w14:ligatures w14:val="standardContextual"/>
        </w:rPr>
      </w:pPr>
      <w:r w:rsidRPr="00FC5B6A">
        <w:rPr>
          <w:rFonts w:asciiTheme="minorHAnsi" w:eastAsiaTheme="minorEastAsia" w:hAnsiTheme="minorHAnsi" w:cstheme="minorBidi"/>
          <w:b/>
          <w:bCs/>
          <w:color w:val="1F3864" w:themeColor="accent1" w:themeShade="80"/>
          <w:kern w:val="2"/>
          <w:sz w:val="28"/>
          <w:szCs w:val="28"/>
          <w14:ligatures w14:val="standardContextual"/>
        </w:rPr>
        <w:t>DIRECCIÓN DE BOSQUES, BIODIVERSIDAD Y SERVICIOS ECOSITÉMICOS</w:t>
      </w:r>
    </w:p>
    <w:p w14:paraId="0AE29D49" w14:textId="19A3753D" w:rsidR="22DF84DA" w:rsidRPr="00FC5B6A" w:rsidRDefault="22DF84DA" w:rsidP="22DF84DA">
      <w:pPr>
        <w:pStyle w:val="Normal1"/>
        <w:tabs>
          <w:tab w:val="left" w:pos="8789"/>
        </w:tabs>
        <w:spacing w:after="0" w:line="240" w:lineRule="auto"/>
        <w:contextualSpacing/>
        <w:jc w:val="center"/>
        <w:rPr>
          <w:rFonts w:asciiTheme="minorHAnsi" w:eastAsiaTheme="minorEastAsia" w:hAnsiTheme="minorHAnsi" w:cstheme="minorBidi"/>
          <w:b/>
          <w:bCs/>
          <w:color w:val="1F3864" w:themeColor="accent1" w:themeShade="80"/>
          <w:sz w:val="28"/>
          <w:szCs w:val="28"/>
        </w:rPr>
      </w:pPr>
    </w:p>
    <w:p w14:paraId="1A92C3DD" w14:textId="51BB40AF" w:rsidR="22DF84DA" w:rsidRPr="00FC5B6A" w:rsidRDefault="22DF84DA" w:rsidP="22DF84DA">
      <w:pPr>
        <w:pStyle w:val="Normal1"/>
        <w:tabs>
          <w:tab w:val="left" w:pos="8789"/>
        </w:tabs>
        <w:spacing w:after="0" w:line="240" w:lineRule="auto"/>
        <w:contextualSpacing/>
        <w:jc w:val="center"/>
        <w:rPr>
          <w:rFonts w:asciiTheme="minorHAnsi" w:eastAsiaTheme="minorEastAsia" w:hAnsiTheme="minorHAnsi" w:cstheme="minorBidi"/>
          <w:b/>
          <w:bCs/>
          <w:color w:val="1F3864" w:themeColor="accent1" w:themeShade="80"/>
          <w:sz w:val="28"/>
          <w:szCs w:val="28"/>
        </w:rPr>
      </w:pPr>
      <w:r w:rsidRPr="00FC5B6A">
        <w:rPr>
          <w:rFonts w:asciiTheme="minorHAnsi" w:eastAsiaTheme="minorEastAsia" w:hAnsiTheme="minorHAnsi" w:cstheme="minorBidi"/>
          <w:b/>
          <w:bCs/>
          <w:color w:val="1F3864" w:themeColor="accent1" w:themeShade="80"/>
          <w:sz w:val="28"/>
          <w:szCs w:val="28"/>
        </w:rPr>
        <w:t>DIRECCION DE ORDENAMIENTO TERRITORIAL AMBIENTAL Y SISTEMA NACIONAL AMBIENTAL</w:t>
      </w:r>
    </w:p>
    <w:p w14:paraId="549FA2B1" w14:textId="77777777" w:rsidR="009D2702" w:rsidRPr="00FC5B6A" w:rsidRDefault="009D2702" w:rsidP="00584E07">
      <w:pPr>
        <w:pStyle w:val="Normal1"/>
        <w:tabs>
          <w:tab w:val="left" w:pos="8789"/>
        </w:tabs>
        <w:spacing w:after="0" w:line="240" w:lineRule="auto"/>
        <w:contextualSpacing/>
        <w:jc w:val="center"/>
        <w:rPr>
          <w:rFonts w:asciiTheme="minorHAnsi" w:eastAsiaTheme="minorHAnsi" w:hAnsiTheme="minorHAnsi" w:cstheme="minorHAnsi"/>
          <w:b/>
          <w:bCs/>
          <w:color w:val="1F3864" w:themeColor="accent1" w:themeShade="80"/>
          <w:kern w:val="2"/>
          <w:sz w:val="36"/>
          <w14:ligatures w14:val="standardContextual"/>
        </w:rPr>
      </w:pPr>
    </w:p>
    <w:p w14:paraId="36DBC29B" w14:textId="77777777" w:rsidR="00584E07" w:rsidRPr="00FC5B6A" w:rsidRDefault="00584E07" w:rsidP="00584E07">
      <w:pPr>
        <w:pStyle w:val="Normal1"/>
        <w:tabs>
          <w:tab w:val="left" w:pos="8789"/>
        </w:tabs>
        <w:spacing w:after="0" w:line="240" w:lineRule="auto"/>
        <w:jc w:val="center"/>
        <w:rPr>
          <w:rFonts w:asciiTheme="minorHAnsi" w:eastAsiaTheme="minorHAnsi" w:hAnsiTheme="minorHAnsi" w:cstheme="minorHAnsi"/>
          <w:b/>
          <w:bCs/>
          <w:color w:val="1F3864" w:themeColor="accent1" w:themeShade="80"/>
          <w:kern w:val="2"/>
          <w:sz w:val="36"/>
          <w14:ligatures w14:val="standardContextual"/>
        </w:rPr>
      </w:pPr>
    </w:p>
    <w:p w14:paraId="27C59531" w14:textId="77777777" w:rsidR="00584E07" w:rsidRPr="00FC5B6A" w:rsidRDefault="00584E07" w:rsidP="00584E07">
      <w:pPr>
        <w:pStyle w:val="Normal1"/>
        <w:tabs>
          <w:tab w:val="left" w:pos="8789"/>
        </w:tabs>
        <w:spacing w:after="0" w:line="240" w:lineRule="auto"/>
        <w:jc w:val="center"/>
        <w:rPr>
          <w:rFonts w:asciiTheme="minorHAnsi" w:eastAsiaTheme="minorHAnsi" w:hAnsiTheme="minorHAnsi" w:cstheme="minorHAnsi"/>
          <w:b/>
          <w:bCs/>
          <w:color w:val="1F3864" w:themeColor="accent1" w:themeShade="80"/>
          <w:kern w:val="2"/>
          <w:sz w:val="36"/>
          <w14:ligatures w14:val="standardContextual"/>
        </w:rPr>
      </w:pPr>
    </w:p>
    <w:p w14:paraId="1422C04B" w14:textId="77777777" w:rsidR="009D2702" w:rsidRPr="00FC5B6A" w:rsidRDefault="009D2702" w:rsidP="00584E07">
      <w:pPr>
        <w:pStyle w:val="Normal1"/>
        <w:tabs>
          <w:tab w:val="left" w:pos="8789"/>
        </w:tabs>
        <w:spacing w:after="0" w:line="240" w:lineRule="auto"/>
        <w:jc w:val="center"/>
        <w:rPr>
          <w:rFonts w:asciiTheme="minorHAnsi" w:eastAsiaTheme="minorHAnsi" w:hAnsiTheme="minorHAnsi" w:cstheme="minorHAnsi"/>
          <w:b/>
          <w:bCs/>
          <w:color w:val="1F3864" w:themeColor="accent1" w:themeShade="80"/>
          <w:kern w:val="2"/>
          <w:sz w:val="36"/>
          <w14:ligatures w14:val="standardContextual"/>
        </w:rPr>
      </w:pPr>
    </w:p>
    <w:p w14:paraId="3418186F" w14:textId="50B52705" w:rsidR="00584E07" w:rsidRPr="00FC5B6A" w:rsidRDefault="00D647C0" w:rsidP="00584E07">
      <w:pPr>
        <w:pStyle w:val="Normal1"/>
        <w:tabs>
          <w:tab w:val="left" w:pos="8789"/>
        </w:tabs>
        <w:spacing w:after="0" w:line="240" w:lineRule="auto"/>
        <w:contextualSpacing/>
        <w:jc w:val="center"/>
        <w:rPr>
          <w:rFonts w:asciiTheme="minorHAnsi" w:eastAsiaTheme="minorHAnsi" w:hAnsiTheme="minorHAnsi" w:cstheme="minorHAnsi"/>
          <w:b/>
          <w:bCs/>
          <w:color w:val="1F3864" w:themeColor="accent1" w:themeShade="80"/>
          <w:kern w:val="2"/>
          <w:sz w:val="36"/>
          <w14:ligatures w14:val="standardContextual"/>
        </w:rPr>
      </w:pPr>
      <w:r>
        <w:rPr>
          <w:rFonts w:asciiTheme="minorHAnsi" w:eastAsiaTheme="minorHAnsi" w:hAnsiTheme="minorHAnsi" w:cstheme="minorHAnsi"/>
          <w:b/>
          <w:bCs/>
          <w:color w:val="1F3864" w:themeColor="accent1" w:themeShade="80"/>
          <w:kern w:val="2"/>
          <w:sz w:val="24"/>
          <w:szCs w:val="16"/>
          <w14:ligatures w14:val="standardContextual"/>
        </w:rPr>
        <w:t>Marzo</w:t>
      </w:r>
      <w:r w:rsidR="00CF14A1" w:rsidRPr="00FC5B6A">
        <w:rPr>
          <w:rFonts w:asciiTheme="minorHAnsi" w:eastAsiaTheme="minorHAnsi" w:hAnsiTheme="minorHAnsi" w:cstheme="minorHAnsi"/>
          <w:b/>
          <w:bCs/>
          <w:color w:val="1F3864" w:themeColor="accent1" w:themeShade="80"/>
          <w:kern w:val="2"/>
          <w:sz w:val="24"/>
          <w:szCs w:val="16"/>
          <w14:ligatures w14:val="standardContextual"/>
        </w:rPr>
        <w:t>, 202</w:t>
      </w:r>
      <w:r>
        <w:rPr>
          <w:rFonts w:asciiTheme="minorHAnsi" w:eastAsiaTheme="minorHAnsi" w:hAnsiTheme="minorHAnsi" w:cstheme="minorHAnsi"/>
          <w:b/>
          <w:bCs/>
          <w:color w:val="1F3864" w:themeColor="accent1" w:themeShade="80"/>
          <w:kern w:val="2"/>
          <w:sz w:val="24"/>
          <w:szCs w:val="16"/>
          <w14:ligatures w14:val="standardContextual"/>
        </w:rPr>
        <w:t>6</w:t>
      </w:r>
    </w:p>
    <w:p w14:paraId="1B6E2568" w14:textId="77777777" w:rsidR="00584E07" w:rsidRPr="00FC5B6A" w:rsidRDefault="00584E07" w:rsidP="00584E07">
      <w:pPr>
        <w:pStyle w:val="Normal1"/>
        <w:tabs>
          <w:tab w:val="left" w:pos="8789"/>
        </w:tabs>
        <w:spacing w:after="0" w:line="240" w:lineRule="auto"/>
        <w:jc w:val="center"/>
        <w:rPr>
          <w:rFonts w:asciiTheme="minorHAnsi" w:eastAsiaTheme="minorHAnsi" w:hAnsiTheme="minorHAnsi" w:cstheme="minorHAnsi"/>
          <w:b/>
          <w:bCs/>
          <w:color w:val="1F3864" w:themeColor="accent1" w:themeShade="80"/>
          <w:kern w:val="2"/>
          <w:sz w:val="36"/>
          <w14:ligatures w14:val="standardContextual"/>
        </w:rPr>
      </w:pPr>
    </w:p>
    <w:p w14:paraId="0CC70FDB" w14:textId="77777777" w:rsidR="00584E07" w:rsidRPr="00FC5B6A" w:rsidRDefault="00584E07" w:rsidP="00584E07">
      <w:pPr>
        <w:pStyle w:val="Normal1"/>
        <w:tabs>
          <w:tab w:val="left" w:pos="8789"/>
        </w:tabs>
        <w:spacing w:after="0" w:line="240" w:lineRule="auto"/>
        <w:jc w:val="center"/>
        <w:rPr>
          <w:rFonts w:asciiTheme="minorHAnsi" w:eastAsiaTheme="minorHAnsi" w:hAnsiTheme="minorHAnsi" w:cstheme="minorHAnsi"/>
          <w:b/>
          <w:bCs/>
          <w:color w:val="1F3864" w:themeColor="accent1" w:themeShade="80"/>
          <w:kern w:val="2"/>
          <w:sz w:val="36"/>
          <w14:ligatures w14:val="standardContextual"/>
        </w:rPr>
      </w:pPr>
    </w:p>
    <w:p w14:paraId="4BB807EB" w14:textId="77777777" w:rsidR="00584E07" w:rsidRPr="00FC5B6A" w:rsidRDefault="00584E07" w:rsidP="00584E07">
      <w:pPr>
        <w:pStyle w:val="Normal1"/>
        <w:tabs>
          <w:tab w:val="left" w:pos="8789"/>
        </w:tabs>
        <w:spacing w:after="0" w:line="240" w:lineRule="auto"/>
        <w:jc w:val="center"/>
        <w:rPr>
          <w:rFonts w:asciiTheme="minorHAnsi" w:eastAsia="Arial" w:hAnsiTheme="minorHAnsi" w:cstheme="minorHAnsi"/>
          <w:lang w:val="es-ES_tradnl"/>
        </w:rPr>
      </w:pPr>
    </w:p>
    <w:p w14:paraId="798249C7" w14:textId="77777777" w:rsidR="00D22E45" w:rsidRPr="00FC5B6A" w:rsidRDefault="00D22E45" w:rsidP="00584E07">
      <w:pPr>
        <w:pStyle w:val="Normal1"/>
        <w:tabs>
          <w:tab w:val="left" w:pos="8789"/>
        </w:tabs>
        <w:spacing w:after="0" w:line="240" w:lineRule="auto"/>
        <w:jc w:val="center"/>
        <w:rPr>
          <w:rFonts w:asciiTheme="minorHAnsi" w:eastAsia="Arial" w:hAnsiTheme="minorHAnsi" w:cstheme="minorHAnsi"/>
          <w:lang w:val="es-ES_tradnl"/>
        </w:rPr>
      </w:pPr>
    </w:p>
    <w:p w14:paraId="62AB9939" w14:textId="77777777" w:rsidR="00D22E45" w:rsidRPr="00FC5B6A" w:rsidRDefault="00D22E45" w:rsidP="00584E07">
      <w:pPr>
        <w:pStyle w:val="Normal1"/>
        <w:tabs>
          <w:tab w:val="left" w:pos="8789"/>
        </w:tabs>
        <w:spacing w:after="0" w:line="240" w:lineRule="auto"/>
        <w:jc w:val="center"/>
        <w:rPr>
          <w:rFonts w:asciiTheme="minorHAnsi" w:eastAsia="Arial" w:hAnsiTheme="minorHAnsi" w:cstheme="minorHAnsi"/>
          <w:lang w:val="es-ES_tradnl"/>
        </w:rPr>
      </w:pPr>
    </w:p>
    <w:p w14:paraId="7396A62B" w14:textId="77777777" w:rsidR="00D22E45" w:rsidRPr="00FC5B6A" w:rsidRDefault="00D22E45" w:rsidP="00584E07">
      <w:pPr>
        <w:pStyle w:val="Normal1"/>
        <w:tabs>
          <w:tab w:val="left" w:pos="8789"/>
        </w:tabs>
        <w:spacing w:after="0" w:line="240" w:lineRule="auto"/>
        <w:jc w:val="center"/>
        <w:rPr>
          <w:rFonts w:asciiTheme="minorHAnsi" w:eastAsia="Arial" w:hAnsiTheme="minorHAnsi" w:cstheme="minorHAnsi"/>
          <w:lang w:val="es-ES_tradnl"/>
        </w:rPr>
      </w:pPr>
    </w:p>
    <w:p w14:paraId="6E14A786" w14:textId="77777777" w:rsidR="00584E07" w:rsidRPr="00FC5B6A" w:rsidRDefault="00584E07" w:rsidP="00584E07">
      <w:pPr>
        <w:pStyle w:val="Normal1"/>
        <w:tabs>
          <w:tab w:val="left" w:pos="8789"/>
        </w:tabs>
        <w:spacing w:after="0" w:line="240" w:lineRule="auto"/>
        <w:rPr>
          <w:rFonts w:asciiTheme="minorHAnsi" w:eastAsia="Arial" w:hAnsiTheme="minorHAnsi" w:cstheme="minorHAnsi"/>
          <w:lang w:val="es-ES_tradnl"/>
        </w:rPr>
      </w:pPr>
    </w:p>
    <w:p w14:paraId="296BA1C3" w14:textId="50A6C31E" w:rsidR="00584E07" w:rsidRPr="00FC5B6A" w:rsidRDefault="00584E07" w:rsidP="00584E07">
      <w:pPr>
        <w:pStyle w:val="Normal1"/>
        <w:tabs>
          <w:tab w:val="left" w:pos="8789"/>
        </w:tabs>
        <w:spacing w:after="0" w:line="240" w:lineRule="auto"/>
        <w:jc w:val="right"/>
        <w:rPr>
          <w:rFonts w:asciiTheme="minorHAnsi" w:eastAsia="Arial" w:hAnsiTheme="minorHAnsi" w:cstheme="minorHAnsi"/>
          <w:lang w:val="es-ES_tradnl"/>
        </w:rPr>
      </w:pPr>
      <w:r w:rsidRPr="00FC5B6A">
        <w:rPr>
          <w:rFonts w:asciiTheme="minorHAnsi" w:eastAsia="Arial" w:hAnsiTheme="minorHAnsi" w:cstheme="minorHAnsi"/>
          <w:lang w:val="es-ES_tradnl"/>
        </w:rPr>
        <w:t>Versión 0</w:t>
      </w:r>
      <w:r w:rsidR="00D647C0">
        <w:rPr>
          <w:rFonts w:asciiTheme="minorHAnsi" w:eastAsia="Arial" w:hAnsiTheme="minorHAnsi" w:cstheme="minorHAnsi"/>
          <w:lang w:val="es-ES_tradnl"/>
        </w:rPr>
        <w:t>3</w:t>
      </w:r>
    </w:p>
    <w:p w14:paraId="212986D7" w14:textId="28984565" w:rsidR="00584E07" w:rsidRPr="00FC5B6A" w:rsidRDefault="00D647C0" w:rsidP="00584E07">
      <w:pPr>
        <w:pStyle w:val="Normal1"/>
        <w:tabs>
          <w:tab w:val="left" w:pos="8789"/>
        </w:tabs>
        <w:spacing w:after="0" w:line="240" w:lineRule="auto"/>
        <w:jc w:val="right"/>
        <w:rPr>
          <w:rFonts w:asciiTheme="minorHAnsi" w:eastAsia="Arial" w:hAnsiTheme="minorHAnsi" w:cstheme="minorHAnsi"/>
          <w:lang w:val="es-ES_tradnl"/>
        </w:rPr>
      </w:pPr>
      <w:r>
        <w:rPr>
          <w:rFonts w:asciiTheme="minorHAnsi" w:eastAsia="Arial" w:hAnsiTheme="minorHAnsi" w:cstheme="minorHAnsi"/>
          <w:lang w:val="es-ES_tradnl"/>
        </w:rPr>
        <w:t>Marzo</w:t>
      </w:r>
      <w:r w:rsidRPr="00FC5B6A">
        <w:rPr>
          <w:rFonts w:asciiTheme="minorHAnsi" w:eastAsia="Arial" w:hAnsiTheme="minorHAnsi" w:cstheme="minorHAnsi"/>
          <w:lang w:val="es-ES_tradnl"/>
        </w:rPr>
        <w:t xml:space="preserve"> </w:t>
      </w:r>
      <w:r w:rsidR="00584E07" w:rsidRPr="00FC5B6A">
        <w:rPr>
          <w:rFonts w:asciiTheme="minorHAnsi" w:eastAsia="Arial" w:hAnsiTheme="minorHAnsi" w:cstheme="minorHAnsi"/>
          <w:lang w:val="es-ES_tradnl"/>
        </w:rPr>
        <w:t>202</w:t>
      </w:r>
      <w:r w:rsidR="00CF14A1" w:rsidRPr="00FC5B6A">
        <w:rPr>
          <w:rFonts w:asciiTheme="minorHAnsi" w:eastAsia="Arial" w:hAnsiTheme="minorHAnsi" w:cstheme="minorHAnsi"/>
          <w:lang w:val="es-ES_tradnl"/>
        </w:rPr>
        <w:t>5</w:t>
      </w:r>
    </w:p>
    <w:p w14:paraId="5126A724" w14:textId="77777777" w:rsidR="00584E07" w:rsidRPr="00FC5B6A" w:rsidRDefault="00584E07" w:rsidP="00584E07">
      <w:pPr>
        <w:pStyle w:val="Normal1"/>
        <w:tabs>
          <w:tab w:val="left" w:pos="8789"/>
        </w:tabs>
        <w:spacing w:after="0" w:line="240" w:lineRule="auto"/>
        <w:jc w:val="right"/>
        <w:rPr>
          <w:rFonts w:asciiTheme="minorHAnsi" w:eastAsia="Arial" w:hAnsiTheme="minorHAnsi" w:cstheme="minorHAnsi"/>
          <w:lang w:val="es-ES_tradnl"/>
        </w:rPr>
      </w:pPr>
      <w:r w:rsidRPr="00FC5B6A">
        <w:rPr>
          <w:rFonts w:asciiTheme="minorHAnsi" w:eastAsia="Arial" w:hAnsiTheme="minorHAnsi" w:cstheme="minorHAnsi"/>
          <w:lang w:val="es-ES_tradnl"/>
        </w:rPr>
        <w:t>Bogotá D.C.</w:t>
      </w:r>
    </w:p>
    <w:p w14:paraId="25B16082" w14:textId="1948B10B" w:rsidR="00584E07" w:rsidRPr="00FC5B6A" w:rsidRDefault="00584E07">
      <w:pPr>
        <w:rPr>
          <w:lang w:val="es-ES_tradnl"/>
        </w:rPr>
      </w:pPr>
      <w:r w:rsidRPr="00FC5B6A">
        <w:rPr>
          <w:lang w:val="es-ES"/>
        </w:rPr>
        <w:br w:type="page"/>
      </w:r>
    </w:p>
    <w:p w14:paraId="5B8BBF95" w14:textId="77777777" w:rsidR="00584E07" w:rsidRPr="00FC5B6A" w:rsidRDefault="00584E07">
      <w:pPr>
        <w:rPr>
          <w:lang w:val="es-ES_tradnl"/>
        </w:rPr>
      </w:pPr>
    </w:p>
    <w:p w14:paraId="3F37D6B0" w14:textId="77777777" w:rsidR="00584E07" w:rsidRPr="00FC5B6A" w:rsidRDefault="00584E07">
      <w:pPr>
        <w:rPr>
          <w:lang w:val="es-ES_tradnl"/>
        </w:rPr>
      </w:pPr>
    </w:p>
    <w:p w14:paraId="4BCD4265" w14:textId="1395B806" w:rsidR="00C3054C" w:rsidRPr="00FC5B6A" w:rsidRDefault="00C3054C" w:rsidP="0A141EBB">
      <w:pPr>
        <w:rPr>
          <w:rFonts w:asciiTheme="majorHAnsi" w:hAnsiTheme="majorHAnsi"/>
          <w:b/>
          <w:bCs/>
          <w:color w:val="2E74B5" w:themeColor="accent5" w:themeShade="BF"/>
          <w:sz w:val="36"/>
          <w:szCs w:val="36"/>
        </w:rPr>
      </w:pPr>
    </w:p>
    <w:p w14:paraId="5DF17522" w14:textId="77777777" w:rsidR="00584E07" w:rsidRPr="00FC5B6A" w:rsidRDefault="00584E07">
      <w:pPr>
        <w:rPr>
          <w:lang w:val="es-ES_tradnl"/>
        </w:rPr>
      </w:pPr>
    </w:p>
    <w:p w14:paraId="157B00DA" w14:textId="71441FC0" w:rsidR="00584E07" w:rsidRPr="00FC5B6A" w:rsidRDefault="003B1542">
      <w:pPr>
        <w:rPr>
          <w:lang w:val="es-ES_tradnl"/>
        </w:rPr>
      </w:pPr>
      <w:r w:rsidRPr="00FC5B6A">
        <w:rPr>
          <w:lang w:val="es-ES_tradnl"/>
        </w:rPr>
        <w:br w:type="page"/>
      </w:r>
    </w:p>
    <w:bookmarkStart w:id="2" w:name="_Toc186104572" w:displacedByCustomXml="next"/>
    <w:sdt>
      <w:sdtPr>
        <w:rPr>
          <w:rFonts w:asciiTheme="minorHAnsi" w:eastAsiaTheme="minorEastAsia" w:hAnsiTheme="minorHAnsi" w:cstheme="minorBidi"/>
          <w:color w:val="auto"/>
          <w:kern w:val="2"/>
          <w:sz w:val="22"/>
          <w:szCs w:val="22"/>
          <w:lang w:val="es-CO"/>
          <w14:ligatures w14:val="standardContextual"/>
        </w:rPr>
        <w:id w:val="897243835"/>
        <w:docPartObj>
          <w:docPartGallery w:val="Table of Contents"/>
          <w:docPartUnique/>
        </w:docPartObj>
      </w:sdtPr>
      <w:sdtEndPr>
        <w:rPr>
          <w:b/>
          <w:bCs/>
          <w:noProof/>
        </w:rPr>
      </w:sdtEndPr>
      <w:sdtContent>
        <w:p w14:paraId="0C4265ED" w14:textId="39A4F3DC" w:rsidR="00863BF6" w:rsidRDefault="00863BF6">
          <w:pPr>
            <w:pStyle w:val="TtuloTDC"/>
          </w:pPr>
        </w:p>
        <w:p w14:paraId="7AA08290" w14:textId="17002993" w:rsidR="00863BF6" w:rsidRPr="00E74796" w:rsidRDefault="00863BF6" w:rsidP="00E74796">
          <w:pPr>
            <w:jc w:val="center"/>
            <w:rPr>
              <w:b/>
              <w:bCs/>
              <w:lang w:val="en-US"/>
            </w:rPr>
          </w:pPr>
          <w:r w:rsidRPr="00E74796">
            <w:rPr>
              <w:b/>
              <w:bCs/>
              <w:lang w:val="en-US"/>
            </w:rPr>
            <w:t>TABLA DE CONTENIDO</w:t>
          </w:r>
        </w:p>
        <w:p w14:paraId="5DDF38C0" w14:textId="77777777" w:rsidR="00863BF6" w:rsidRPr="00E74796" w:rsidRDefault="00863BF6" w:rsidP="00E74796">
          <w:pPr>
            <w:rPr>
              <w:lang w:val="en-US"/>
            </w:rPr>
          </w:pPr>
        </w:p>
        <w:p w14:paraId="7878BBF8" w14:textId="4F64D25D" w:rsidR="00863BF6" w:rsidRDefault="00863BF6">
          <w:pPr>
            <w:pStyle w:val="TDC1"/>
            <w:tabs>
              <w:tab w:val="right" w:leader="dot" w:pos="8828"/>
            </w:tabs>
            <w:rPr>
              <w:rFonts w:eastAsiaTheme="minorEastAsia"/>
              <w:noProof/>
              <w:sz w:val="24"/>
              <w:szCs w:val="24"/>
              <w:lang w:val="en-US"/>
            </w:rPr>
          </w:pPr>
          <w:r>
            <w:fldChar w:fldCharType="begin"/>
          </w:r>
          <w:r>
            <w:instrText xml:space="preserve"> TOC \o "1-3" \h \z \u </w:instrText>
          </w:r>
          <w:r>
            <w:fldChar w:fldCharType="separate"/>
          </w:r>
          <w:hyperlink w:anchor="_Toc224921348" w:history="1">
            <w:r w:rsidRPr="006406B2">
              <w:rPr>
                <w:rStyle w:val="Hipervnculo"/>
                <w:b/>
                <w:bCs/>
                <w:noProof/>
              </w:rPr>
              <w:t>INTRODUCCIÓN</w:t>
            </w:r>
            <w:r>
              <w:rPr>
                <w:noProof/>
                <w:webHidden/>
              </w:rPr>
              <w:tab/>
            </w:r>
            <w:r>
              <w:rPr>
                <w:noProof/>
                <w:webHidden/>
              </w:rPr>
              <w:fldChar w:fldCharType="begin"/>
            </w:r>
            <w:r>
              <w:rPr>
                <w:noProof/>
                <w:webHidden/>
              </w:rPr>
              <w:instrText xml:space="preserve"> PAGEREF _Toc224921348 \h </w:instrText>
            </w:r>
            <w:r>
              <w:rPr>
                <w:noProof/>
                <w:webHidden/>
              </w:rPr>
            </w:r>
            <w:r>
              <w:rPr>
                <w:noProof/>
                <w:webHidden/>
              </w:rPr>
              <w:fldChar w:fldCharType="separate"/>
            </w:r>
            <w:r>
              <w:rPr>
                <w:noProof/>
                <w:webHidden/>
              </w:rPr>
              <w:t>4</w:t>
            </w:r>
            <w:r>
              <w:rPr>
                <w:noProof/>
                <w:webHidden/>
              </w:rPr>
              <w:fldChar w:fldCharType="end"/>
            </w:r>
          </w:hyperlink>
        </w:p>
        <w:p w14:paraId="4AD00F1B" w14:textId="635B569A" w:rsidR="00863BF6" w:rsidRDefault="00863BF6">
          <w:pPr>
            <w:pStyle w:val="TDC1"/>
            <w:tabs>
              <w:tab w:val="left" w:pos="440"/>
              <w:tab w:val="right" w:leader="dot" w:pos="8828"/>
            </w:tabs>
            <w:rPr>
              <w:rFonts w:eastAsiaTheme="minorEastAsia"/>
              <w:noProof/>
              <w:sz w:val="24"/>
              <w:szCs w:val="24"/>
              <w:lang w:val="en-US"/>
            </w:rPr>
          </w:pPr>
          <w:hyperlink w:anchor="_Toc224921349" w:history="1">
            <w:r w:rsidRPr="006406B2">
              <w:rPr>
                <w:rStyle w:val="Hipervnculo"/>
                <w:noProof/>
              </w:rPr>
              <w:t>1</w:t>
            </w:r>
            <w:r>
              <w:rPr>
                <w:rFonts w:eastAsiaTheme="minorEastAsia"/>
                <w:noProof/>
                <w:sz w:val="24"/>
                <w:szCs w:val="24"/>
                <w:lang w:val="en-US"/>
              </w:rPr>
              <w:tab/>
            </w:r>
            <w:r w:rsidRPr="006406B2">
              <w:rPr>
                <w:rStyle w:val="Hipervnculo"/>
                <w:noProof/>
              </w:rPr>
              <w:t>Definiciones</w:t>
            </w:r>
            <w:r>
              <w:rPr>
                <w:noProof/>
                <w:webHidden/>
              </w:rPr>
              <w:tab/>
            </w:r>
            <w:r>
              <w:rPr>
                <w:noProof/>
                <w:webHidden/>
              </w:rPr>
              <w:fldChar w:fldCharType="begin"/>
            </w:r>
            <w:r>
              <w:rPr>
                <w:noProof/>
                <w:webHidden/>
              </w:rPr>
              <w:instrText xml:space="preserve"> PAGEREF _Toc224921349 \h </w:instrText>
            </w:r>
            <w:r>
              <w:rPr>
                <w:noProof/>
                <w:webHidden/>
              </w:rPr>
            </w:r>
            <w:r>
              <w:rPr>
                <w:noProof/>
                <w:webHidden/>
              </w:rPr>
              <w:fldChar w:fldCharType="separate"/>
            </w:r>
            <w:r>
              <w:rPr>
                <w:noProof/>
                <w:webHidden/>
              </w:rPr>
              <w:t>7</w:t>
            </w:r>
            <w:r>
              <w:rPr>
                <w:noProof/>
                <w:webHidden/>
              </w:rPr>
              <w:fldChar w:fldCharType="end"/>
            </w:r>
          </w:hyperlink>
        </w:p>
        <w:p w14:paraId="2AE05BF2" w14:textId="6AE1E9ED" w:rsidR="00863BF6" w:rsidRDefault="00863BF6">
          <w:pPr>
            <w:pStyle w:val="TDC1"/>
            <w:tabs>
              <w:tab w:val="left" w:pos="440"/>
              <w:tab w:val="right" w:leader="dot" w:pos="8828"/>
            </w:tabs>
            <w:rPr>
              <w:rFonts w:eastAsiaTheme="minorEastAsia"/>
              <w:noProof/>
              <w:sz w:val="24"/>
              <w:szCs w:val="24"/>
              <w:lang w:val="en-US"/>
            </w:rPr>
          </w:pPr>
          <w:hyperlink w:anchor="_Toc224921350" w:history="1">
            <w:r w:rsidRPr="006406B2">
              <w:rPr>
                <w:rStyle w:val="Hipervnculo"/>
                <w:noProof/>
              </w:rPr>
              <w:t>2</w:t>
            </w:r>
            <w:r>
              <w:rPr>
                <w:rFonts w:eastAsiaTheme="minorEastAsia"/>
                <w:noProof/>
                <w:sz w:val="24"/>
                <w:szCs w:val="24"/>
                <w:lang w:val="en-US"/>
              </w:rPr>
              <w:tab/>
            </w:r>
            <w:r w:rsidRPr="006406B2">
              <w:rPr>
                <w:rStyle w:val="Hipervnculo"/>
                <w:noProof/>
              </w:rPr>
              <w:t>Normativa</w:t>
            </w:r>
            <w:r>
              <w:rPr>
                <w:noProof/>
                <w:webHidden/>
              </w:rPr>
              <w:tab/>
            </w:r>
            <w:r>
              <w:rPr>
                <w:noProof/>
                <w:webHidden/>
              </w:rPr>
              <w:fldChar w:fldCharType="begin"/>
            </w:r>
            <w:r>
              <w:rPr>
                <w:noProof/>
                <w:webHidden/>
              </w:rPr>
              <w:instrText xml:space="preserve"> PAGEREF _Toc224921350 \h </w:instrText>
            </w:r>
            <w:r>
              <w:rPr>
                <w:noProof/>
                <w:webHidden/>
              </w:rPr>
            </w:r>
            <w:r>
              <w:rPr>
                <w:noProof/>
                <w:webHidden/>
              </w:rPr>
              <w:fldChar w:fldCharType="separate"/>
            </w:r>
            <w:r>
              <w:rPr>
                <w:noProof/>
                <w:webHidden/>
              </w:rPr>
              <w:t>12</w:t>
            </w:r>
            <w:r>
              <w:rPr>
                <w:noProof/>
                <w:webHidden/>
              </w:rPr>
              <w:fldChar w:fldCharType="end"/>
            </w:r>
          </w:hyperlink>
        </w:p>
        <w:p w14:paraId="7C342448" w14:textId="388799CF" w:rsidR="00863BF6" w:rsidRDefault="00863BF6">
          <w:pPr>
            <w:pStyle w:val="TDC1"/>
            <w:tabs>
              <w:tab w:val="left" w:pos="440"/>
              <w:tab w:val="right" w:leader="dot" w:pos="8828"/>
            </w:tabs>
            <w:rPr>
              <w:rFonts w:eastAsiaTheme="minorEastAsia"/>
              <w:noProof/>
              <w:sz w:val="24"/>
              <w:szCs w:val="24"/>
              <w:lang w:val="en-US"/>
            </w:rPr>
          </w:pPr>
          <w:hyperlink w:anchor="_Toc224921351" w:history="1">
            <w:r w:rsidRPr="006406B2">
              <w:rPr>
                <w:rStyle w:val="Hipervnculo"/>
                <w:rFonts w:cstheme="minorHAnsi"/>
                <w:noProof/>
              </w:rPr>
              <w:t>3</w:t>
            </w:r>
            <w:r>
              <w:rPr>
                <w:rFonts w:eastAsiaTheme="minorEastAsia"/>
                <w:noProof/>
                <w:sz w:val="24"/>
                <w:szCs w:val="24"/>
                <w:lang w:val="en-US"/>
              </w:rPr>
              <w:tab/>
            </w:r>
            <w:r w:rsidRPr="006406B2">
              <w:rPr>
                <w:rStyle w:val="Hipervnculo"/>
                <w:rFonts w:cstheme="minorHAnsi"/>
                <w:noProof/>
              </w:rPr>
              <w:t>Contexto</w:t>
            </w:r>
            <w:r>
              <w:rPr>
                <w:noProof/>
                <w:webHidden/>
              </w:rPr>
              <w:tab/>
            </w:r>
            <w:r>
              <w:rPr>
                <w:noProof/>
                <w:webHidden/>
              </w:rPr>
              <w:fldChar w:fldCharType="begin"/>
            </w:r>
            <w:r>
              <w:rPr>
                <w:noProof/>
                <w:webHidden/>
              </w:rPr>
              <w:instrText xml:space="preserve"> PAGEREF _Toc224921351 \h </w:instrText>
            </w:r>
            <w:r>
              <w:rPr>
                <w:noProof/>
                <w:webHidden/>
              </w:rPr>
            </w:r>
            <w:r>
              <w:rPr>
                <w:noProof/>
                <w:webHidden/>
              </w:rPr>
              <w:fldChar w:fldCharType="separate"/>
            </w:r>
            <w:r>
              <w:rPr>
                <w:noProof/>
                <w:webHidden/>
              </w:rPr>
              <w:t>23</w:t>
            </w:r>
            <w:r>
              <w:rPr>
                <w:noProof/>
                <w:webHidden/>
              </w:rPr>
              <w:fldChar w:fldCharType="end"/>
            </w:r>
          </w:hyperlink>
        </w:p>
        <w:p w14:paraId="7760E865" w14:textId="2295B488" w:rsidR="00863BF6" w:rsidRDefault="00863BF6">
          <w:pPr>
            <w:pStyle w:val="TDC2"/>
            <w:tabs>
              <w:tab w:val="left" w:pos="960"/>
              <w:tab w:val="right" w:leader="dot" w:pos="8828"/>
            </w:tabs>
            <w:rPr>
              <w:rFonts w:eastAsiaTheme="minorEastAsia" w:cstheme="minorBidi"/>
              <w:noProof/>
              <w:kern w:val="2"/>
              <w:szCs w:val="24"/>
              <w:lang w:val="en-US"/>
              <w14:ligatures w14:val="standardContextual"/>
            </w:rPr>
          </w:pPr>
          <w:hyperlink w:anchor="_Toc224921352" w:history="1">
            <w:r w:rsidRPr="006406B2">
              <w:rPr>
                <w:rStyle w:val="Hipervnculo"/>
                <w:noProof/>
              </w:rPr>
              <w:t>3.1</w:t>
            </w:r>
            <w:r>
              <w:rPr>
                <w:rFonts w:eastAsiaTheme="minorEastAsia" w:cstheme="minorBidi"/>
                <w:noProof/>
                <w:kern w:val="2"/>
                <w:szCs w:val="24"/>
                <w:lang w:val="en-US"/>
                <w14:ligatures w14:val="standardContextual"/>
              </w:rPr>
              <w:tab/>
            </w:r>
            <w:r w:rsidRPr="006406B2">
              <w:rPr>
                <w:rStyle w:val="Hipervnculo"/>
                <w:noProof/>
              </w:rPr>
              <w:t>Ley 2 de 1959</w:t>
            </w:r>
            <w:r>
              <w:rPr>
                <w:noProof/>
                <w:webHidden/>
              </w:rPr>
              <w:tab/>
            </w:r>
            <w:r>
              <w:rPr>
                <w:noProof/>
                <w:webHidden/>
              </w:rPr>
              <w:fldChar w:fldCharType="begin"/>
            </w:r>
            <w:r>
              <w:rPr>
                <w:noProof/>
                <w:webHidden/>
              </w:rPr>
              <w:instrText xml:space="preserve"> PAGEREF _Toc224921352 \h </w:instrText>
            </w:r>
            <w:r>
              <w:rPr>
                <w:noProof/>
                <w:webHidden/>
              </w:rPr>
            </w:r>
            <w:r>
              <w:rPr>
                <w:noProof/>
                <w:webHidden/>
              </w:rPr>
              <w:fldChar w:fldCharType="separate"/>
            </w:r>
            <w:r>
              <w:rPr>
                <w:noProof/>
                <w:webHidden/>
              </w:rPr>
              <w:t>23</w:t>
            </w:r>
            <w:r>
              <w:rPr>
                <w:noProof/>
                <w:webHidden/>
              </w:rPr>
              <w:fldChar w:fldCharType="end"/>
            </w:r>
          </w:hyperlink>
        </w:p>
        <w:p w14:paraId="5BC06FD6" w14:textId="5A933103" w:rsidR="00863BF6" w:rsidRDefault="00863BF6">
          <w:pPr>
            <w:pStyle w:val="TDC2"/>
            <w:tabs>
              <w:tab w:val="left" w:pos="960"/>
              <w:tab w:val="right" w:leader="dot" w:pos="8828"/>
            </w:tabs>
            <w:rPr>
              <w:rFonts w:eastAsiaTheme="minorEastAsia" w:cstheme="minorBidi"/>
              <w:noProof/>
              <w:kern w:val="2"/>
              <w:szCs w:val="24"/>
              <w:lang w:val="en-US"/>
              <w14:ligatures w14:val="standardContextual"/>
            </w:rPr>
          </w:pPr>
          <w:hyperlink w:anchor="_Toc224921353" w:history="1">
            <w:r w:rsidRPr="006406B2">
              <w:rPr>
                <w:rStyle w:val="Hipervnculo"/>
                <w:noProof/>
              </w:rPr>
              <w:t>3.2</w:t>
            </w:r>
            <w:r>
              <w:rPr>
                <w:rFonts w:eastAsiaTheme="minorEastAsia" w:cstheme="minorBidi"/>
                <w:noProof/>
                <w:kern w:val="2"/>
                <w:szCs w:val="24"/>
                <w:lang w:val="en-US"/>
                <w14:ligatures w14:val="standardContextual"/>
              </w:rPr>
              <w:tab/>
            </w:r>
            <w:r w:rsidRPr="006406B2">
              <w:rPr>
                <w:rStyle w:val="Hipervnculo"/>
                <w:noProof/>
              </w:rPr>
              <w:t>Ley 1930 de 2018</w:t>
            </w:r>
            <w:r>
              <w:rPr>
                <w:noProof/>
                <w:webHidden/>
              </w:rPr>
              <w:tab/>
            </w:r>
            <w:r>
              <w:rPr>
                <w:noProof/>
                <w:webHidden/>
              </w:rPr>
              <w:fldChar w:fldCharType="begin"/>
            </w:r>
            <w:r>
              <w:rPr>
                <w:noProof/>
                <w:webHidden/>
              </w:rPr>
              <w:instrText xml:space="preserve"> PAGEREF _Toc224921353 \h </w:instrText>
            </w:r>
            <w:r>
              <w:rPr>
                <w:noProof/>
                <w:webHidden/>
              </w:rPr>
            </w:r>
            <w:r>
              <w:rPr>
                <w:noProof/>
                <w:webHidden/>
              </w:rPr>
              <w:fldChar w:fldCharType="separate"/>
            </w:r>
            <w:r>
              <w:rPr>
                <w:noProof/>
                <w:webHidden/>
              </w:rPr>
              <w:t>25</w:t>
            </w:r>
            <w:r>
              <w:rPr>
                <w:noProof/>
                <w:webHidden/>
              </w:rPr>
              <w:fldChar w:fldCharType="end"/>
            </w:r>
          </w:hyperlink>
        </w:p>
        <w:p w14:paraId="008F5C68" w14:textId="40844BB4" w:rsidR="00863BF6" w:rsidRDefault="00863BF6">
          <w:pPr>
            <w:pStyle w:val="TDC2"/>
            <w:tabs>
              <w:tab w:val="left" w:pos="960"/>
              <w:tab w:val="right" w:leader="dot" w:pos="8828"/>
            </w:tabs>
            <w:rPr>
              <w:rFonts w:eastAsiaTheme="minorEastAsia" w:cstheme="minorBidi"/>
              <w:noProof/>
              <w:kern w:val="2"/>
              <w:szCs w:val="24"/>
              <w:lang w:val="en-US"/>
              <w14:ligatures w14:val="standardContextual"/>
            </w:rPr>
          </w:pPr>
          <w:hyperlink w:anchor="_Toc224921354" w:history="1">
            <w:r w:rsidRPr="006406B2">
              <w:rPr>
                <w:rStyle w:val="Hipervnculo"/>
                <w:noProof/>
              </w:rPr>
              <w:t>3.3</w:t>
            </w:r>
            <w:r>
              <w:rPr>
                <w:rFonts w:eastAsiaTheme="minorEastAsia" w:cstheme="minorBidi"/>
                <w:noProof/>
                <w:kern w:val="2"/>
                <w:szCs w:val="24"/>
                <w:lang w:val="en-US"/>
                <w14:ligatures w14:val="standardContextual"/>
              </w:rPr>
              <w:tab/>
            </w:r>
            <w:r w:rsidRPr="006406B2">
              <w:rPr>
                <w:rStyle w:val="Hipervnculo"/>
                <w:noProof/>
              </w:rPr>
              <w:t>Resolución 464 de 2017</w:t>
            </w:r>
            <w:r>
              <w:rPr>
                <w:noProof/>
                <w:webHidden/>
              </w:rPr>
              <w:tab/>
            </w:r>
            <w:r>
              <w:rPr>
                <w:noProof/>
                <w:webHidden/>
              </w:rPr>
              <w:fldChar w:fldCharType="begin"/>
            </w:r>
            <w:r>
              <w:rPr>
                <w:noProof/>
                <w:webHidden/>
              </w:rPr>
              <w:instrText xml:space="preserve"> PAGEREF _Toc224921354 \h </w:instrText>
            </w:r>
            <w:r>
              <w:rPr>
                <w:noProof/>
                <w:webHidden/>
              </w:rPr>
            </w:r>
            <w:r>
              <w:rPr>
                <w:noProof/>
                <w:webHidden/>
              </w:rPr>
              <w:fldChar w:fldCharType="separate"/>
            </w:r>
            <w:r>
              <w:rPr>
                <w:noProof/>
                <w:webHidden/>
              </w:rPr>
              <w:t>27</w:t>
            </w:r>
            <w:r>
              <w:rPr>
                <w:noProof/>
                <w:webHidden/>
              </w:rPr>
              <w:fldChar w:fldCharType="end"/>
            </w:r>
          </w:hyperlink>
        </w:p>
        <w:p w14:paraId="16D8B855" w14:textId="271AD5C4" w:rsidR="00863BF6" w:rsidRDefault="00863BF6">
          <w:pPr>
            <w:pStyle w:val="TDC2"/>
            <w:tabs>
              <w:tab w:val="left" w:pos="960"/>
              <w:tab w:val="right" w:leader="dot" w:pos="8828"/>
            </w:tabs>
            <w:rPr>
              <w:rFonts w:eastAsiaTheme="minorEastAsia" w:cstheme="minorBidi"/>
              <w:noProof/>
              <w:kern w:val="2"/>
              <w:szCs w:val="24"/>
              <w:lang w:val="en-US"/>
              <w14:ligatures w14:val="standardContextual"/>
            </w:rPr>
          </w:pPr>
          <w:hyperlink w:anchor="_Toc224921355" w:history="1">
            <w:r w:rsidRPr="006406B2">
              <w:rPr>
                <w:rStyle w:val="Hipervnculo"/>
                <w:noProof/>
              </w:rPr>
              <w:t>3.4</w:t>
            </w:r>
            <w:r>
              <w:rPr>
                <w:rFonts w:eastAsiaTheme="minorEastAsia" w:cstheme="minorBidi"/>
                <w:noProof/>
                <w:kern w:val="2"/>
                <w:szCs w:val="24"/>
                <w:lang w:val="en-US"/>
                <w14:ligatures w14:val="standardContextual"/>
              </w:rPr>
              <w:tab/>
            </w:r>
            <w:r w:rsidRPr="006406B2">
              <w:rPr>
                <w:rStyle w:val="Hipervnculo"/>
                <w:noProof/>
              </w:rPr>
              <w:t>Acuerdo de Escazú</w:t>
            </w:r>
            <w:r>
              <w:rPr>
                <w:noProof/>
                <w:webHidden/>
              </w:rPr>
              <w:tab/>
            </w:r>
            <w:r>
              <w:rPr>
                <w:noProof/>
                <w:webHidden/>
              </w:rPr>
              <w:fldChar w:fldCharType="begin"/>
            </w:r>
            <w:r>
              <w:rPr>
                <w:noProof/>
                <w:webHidden/>
              </w:rPr>
              <w:instrText xml:space="preserve"> PAGEREF _Toc224921355 \h </w:instrText>
            </w:r>
            <w:r>
              <w:rPr>
                <w:noProof/>
                <w:webHidden/>
              </w:rPr>
            </w:r>
            <w:r>
              <w:rPr>
                <w:noProof/>
                <w:webHidden/>
              </w:rPr>
              <w:fldChar w:fldCharType="separate"/>
            </w:r>
            <w:r>
              <w:rPr>
                <w:noProof/>
                <w:webHidden/>
              </w:rPr>
              <w:t>27</w:t>
            </w:r>
            <w:r>
              <w:rPr>
                <w:noProof/>
                <w:webHidden/>
              </w:rPr>
              <w:fldChar w:fldCharType="end"/>
            </w:r>
          </w:hyperlink>
        </w:p>
        <w:p w14:paraId="1324515A" w14:textId="2AE5B86A" w:rsidR="00863BF6" w:rsidRDefault="00863BF6">
          <w:pPr>
            <w:pStyle w:val="TDC2"/>
            <w:tabs>
              <w:tab w:val="left" w:pos="960"/>
              <w:tab w:val="right" w:leader="dot" w:pos="8828"/>
            </w:tabs>
            <w:rPr>
              <w:rFonts w:eastAsiaTheme="minorEastAsia" w:cstheme="minorBidi"/>
              <w:noProof/>
              <w:kern w:val="2"/>
              <w:szCs w:val="24"/>
              <w:lang w:val="en-US"/>
              <w14:ligatures w14:val="standardContextual"/>
            </w:rPr>
          </w:pPr>
          <w:hyperlink w:anchor="_Toc224921356" w:history="1">
            <w:r w:rsidRPr="006406B2">
              <w:rPr>
                <w:rStyle w:val="Hipervnculo"/>
                <w:noProof/>
              </w:rPr>
              <w:t>3.5</w:t>
            </w:r>
            <w:r>
              <w:rPr>
                <w:rFonts w:eastAsiaTheme="minorEastAsia" w:cstheme="minorBidi"/>
                <w:noProof/>
                <w:kern w:val="2"/>
                <w:szCs w:val="24"/>
                <w:lang w:val="en-US"/>
                <w14:ligatures w14:val="standardContextual"/>
              </w:rPr>
              <w:tab/>
            </w:r>
            <w:r w:rsidRPr="006406B2">
              <w:rPr>
                <w:rStyle w:val="Hipervnculo"/>
                <w:noProof/>
              </w:rPr>
              <w:t>Contexto socio territorial</w:t>
            </w:r>
            <w:r>
              <w:rPr>
                <w:noProof/>
                <w:webHidden/>
              </w:rPr>
              <w:tab/>
            </w:r>
            <w:r>
              <w:rPr>
                <w:noProof/>
                <w:webHidden/>
              </w:rPr>
              <w:fldChar w:fldCharType="begin"/>
            </w:r>
            <w:r>
              <w:rPr>
                <w:noProof/>
                <w:webHidden/>
              </w:rPr>
              <w:instrText xml:space="preserve"> PAGEREF _Toc224921356 \h </w:instrText>
            </w:r>
            <w:r>
              <w:rPr>
                <w:noProof/>
                <w:webHidden/>
              </w:rPr>
            </w:r>
            <w:r>
              <w:rPr>
                <w:noProof/>
                <w:webHidden/>
              </w:rPr>
              <w:fldChar w:fldCharType="separate"/>
            </w:r>
            <w:r>
              <w:rPr>
                <w:noProof/>
                <w:webHidden/>
              </w:rPr>
              <w:t>29</w:t>
            </w:r>
            <w:r>
              <w:rPr>
                <w:noProof/>
                <w:webHidden/>
              </w:rPr>
              <w:fldChar w:fldCharType="end"/>
            </w:r>
          </w:hyperlink>
        </w:p>
        <w:p w14:paraId="735198B6" w14:textId="43411EB3" w:rsidR="00863BF6" w:rsidRDefault="00863BF6">
          <w:pPr>
            <w:pStyle w:val="TDC2"/>
            <w:tabs>
              <w:tab w:val="left" w:pos="960"/>
              <w:tab w:val="right" w:leader="dot" w:pos="8828"/>
            </w:tabs>
            <w:rPr>
              <w:rFonts w:eastAsiaTheme="minorEastAsia" w:cstheme="minorBidi"/>
              <w:noProof/>
              <w:kern w:val="2"/>
              <w:szCs w:val="24"/>
              <w:lang w:val="en-US"/>
              <w14:ligatures w14:val="standardContextual"/>
            </w:rPr>
          </w:pPr>
          <w:hyperlink w:anchor="_Toc224921357" w:history="1">
            <w:r w:rsidRPr="006406B2">
              <w:rPr>
                <w:rStyle w:val="Hipervnculo"/>
                <w:noProof/>
              </w:rPr>
              <w:t>3.6</w:t>
            </w:r>
            <w:r>
              <w:rPr>
                <w:rFonts w:eastAsiaTheme="minorEastAsia" w:cstheme="minorBidi"/>
                <w:noProof/>
                <w:kern w:val="2"/>
                <w:szCs w:val="24"/>
                <w:lang w:val="en-US"/>
                <w14:ligatures w14:val="standardContextual"/>
              </w:rPr>
              <w:tab/>
            </w:r>
            <w:r w:rsidRPr="006406B2">
              <w:rPr>
                <w:rStyle w:val="Hipervnculo"/>
                <w:noProof/>
              </w:rPr>
              <w:t>Análisis de contexto realizado por la Universidad Pedagógica y Tecnológica de Colombia sobre el Cocuy</w:t>
            </w:r>
            <w:r>
              <w:rPr>
                <w:noProof/>
                <w:webHidden/>
              </w:rPr>
              <w:tab/>
            </w:r>
            <w:r>
              <w:rPr>
                <w:noProof/>
                <w:webHidden/>
              </w:rPr>
              <w:fldChar w:fldCharType="begin"/>
            </w:r>
            <w:r>
              <w:rPr>
                <w:noProof/>
                <w:webHidden/>
              </w:rPr>
              <w:instrText xml:space="preserve"> PAGEREF _Toc224921357 \h </w:instrText>
            </w:r>
            <w:r>
              <w:rPr>
                <w:noProof/>
                <w:webHidden/>
              </w:rPr>
            </w:r>
            <w:r>
              <w:rPr>
                <w:noProof/>
                <w:webHidden/>
              </w:rPr>
              <w:fldChar w:fldCharType="separate"/>
            </w:r>
            <w:r>
              <w:rPr>
                <w:noProof/>
                <w:webHidden/>
              </w:rPr>
              <w:t>35</w:t>
            </w:r>
            <w:r>
              <w:rPr>
                <w:noProof/>
                <w:webHidden/>
              </w:rPr>
              <w:fldChar w:fldCharType="end"/>
            </w:r>
          </w:hyperlink>
        </w:p>
        <w:p w14:paraId="1C5C6A5B" w14:textId="1FF5D9DB" w:rsidR="00863BF6" w:rsidRDefault="00863BF6">
          <w:pPr>
            <w:pStyle w:val="TDC3"/>
            <w:tabs>
              <w:tab w:val="right" w:leader="dot" w:pos="8828"/>
            </w:tabs>
            <w:rPr>
              <w:rFonts w:eastAsiaTheme="minorEastAsia"/>
              <w:noProof/>
              <w:sz w:val="24"/>
              <w:szCs w:val="24"/>
              <w:lang w:val="en-US"/>
            </w:rPr>
          </w:pPr>
          <w:hyperlink w:anchor="_Toc224921358" w:history="1">
            <w:r w:rsidRPr="006406B2">
              <w:rPr>
                <w:rStyle w:val="Hipervnculo"/>
                <w:noProof/>
              </w:rPr>
              <w:t>3.6.1 Comunidad campesina y estructura agraria</w:t>
            </w:r>
            <w:r>
              <w:rPr>
                <w:noProof/>
                <w:webHidden/>
              </w:rPr>
              <w:tab/>
            </w:r>
            <w:r>
              <w:rPr>
                <w:noProof/>
                <w:webHidden/>
              </w:rPr>
              <w:fldChar w:fldCharType="begin"/>
            </w:r>
            <w:r>
              <w:rPr>
                <w:noProof/>
                <w:webHidden/>
              </w:rPr>
              <w:instrText xml:space="preserve"> PAGEREF _Toc224921358 \h </w:instrText>
            </w:r>
            <w:r>
              <w:rPr>
                <w:noProof/>
                <w:webHidden/>
              </w:rPr>
            </w:r>
            <w:r>
              <w:rPr>
                <w:noProof/>
                <w:webHidden/>
              </w:rPr>
              <w:fldChar w:fldCharType="separate"/>
            </w:r>
            <w:r>
              <w:rPr>
                <w:noProof/>
                <w:webHidden/>
              </w:rPr>
              <w:t>36</w:t>
            </w:r>
            <w:r>
              <w:rPr>
                <w:noProof/>
                <w:webHidden/>
              </w:rPr>
              <w:fldChar w:fldCharType="end"/>
            </w:r>
          </w:hyperlink>
        </w:p>
        <w:p w14:paraId="2068D40A" w14:textId="401E3413" w:rsidR="00863BF6" w:rsidRDefault="00863BF6">
          <w:pPr>
            <w:pStyle w:val="TDC3"/>
            <w:tabs>
              <w:tab w:val="right" w:leader="dot" w:pos="8828"/>
            </w:tabs>
            <w:rPr>
              <w:rFonts w:eastAsiaTheme="minorEastAsia"/>
              <w:noProof/>
              <w:sz w:val="24"/>
              <w:szCs w:val="24"/>
              <w:lang w:val="en-US"/>
            </w:rPr>
          </w:pPr>
          <w:hyperlink w:anchor="_Toc224921359" w:history="1">
            <w:r w:rsidRPr="006406B2">
              <w:rPr>
                <w:rStyle w:val="Hipervnculo"/>
                <w:noProof/>
              </w:rPr>
              <w:t>3.6.2 Soberanía y seguridad alimentaria</w:t>
            </w:r>
            <w:r>
              <w:rPr>
                <w:noProof/>
                <w:webHidden/>
              </w:rPr>
              <w:tab/>
            </w:r>
            <w:r>
              <w:rPr>
                <w:noProof/>
                <w:webHidden/>
              </w:rPr>
              <w:fldChar w:fldCharType="begin"/>
            </w:r>
            <w:r>
              <w:rPr>
                <w:noProof/>
                <w:webHidden/>
              </w:rPr>
              <w:instrText xml:space="preserve"> PAGEREF _Toc224921359 \h </w:instrText>
            </w:r>
            <w:r>
              <w:rPr>
                <w:noProof/>
                <w:webHidden/>
              </w:rPr>
            </w:r>
            <w:r>
              <w:rPr>
                <w:noProof/>
                <w:webHidden/>
              </w:rPr>
              <w:fldChar w:fldCharType="separate"/>
            </w:r>
            <w:r>
              <w:rPr>
                <w:noProof/>
                <w:webHidden/>
              </w:rPr>
              <w:t>36</w:t>
            </w:r>
            <w:r>
              <w:rPr>
                <w:noProof/>
                <w:webHidden/>
              </w:rPr>
              <w:fldChar w:fldCharType="end"/>
            </w:r>
          </w:hyperlink>
        </w:p>
        <w:p w14:paraId="709B5933" w14:textId="34A305DA" w:rsidR="00863BF6" w:rsidRDefault="00863BF6">
          <w:pPr>
            <w:pStyle w:val="TDC3"/>
            <w:tabs>
              <w:tab w:val="right" w:leader="dot" w:pos="8828"/>
            </w:tabs>
            <w:rPr>
              <w:rFonts w:eastAsiaTheme="minorEastAsia"/>
              <w:noProof/>
              <w:sz w:val="24"/>
              <w:szCs w:val="24"/>
              <w:lang w:val="en-US"/>
            </w:rPr>
          </w:pPr>
          <w:hyperlink w:anchor="_Toc224921360" w:history="1">
            <w:r w:rsidRPr="006406B2">
              <w:rPr>
                <w:rStyle w:val="Hipervnculo"/>
                <w:noProof/>
              </w:rPr>
              <w:t>3.6.3 Dinámicas territoriales y conflictos socioambientales</w:t>
            </w:r>
            <w:r>
              <w:rPr>
                <w:noProof/>
                <w:webHidden/>
              </w:rPr>
              <w:tab/>
            </w:r>
            <w:r>
              <w:rPr>
                <w:noProof/>
                <w:webHidden/>
              </w:rPr>
              <w:fldChar w:fldCharType="begin"/>
            </w:r>
            <w:r>
              <w:rPr>
                <w:noProof/>
                <w:webHidden/>
              </w:rPr>
              <w:instrText xml:space="preserve"> PAGEREF _Toc224921360 \h </w:instrText>
            </w:r>
            <w:r>
              <w:rPr>
                <w:noProof/>
                <w:webHidden/>
              </w:rPr>
            </w:r>
            <w:r>
              <w:rPr>
                <w:noProof/>
                <w:webHidden/>
              </w:rPr>
              <w:fldChar w:fldCharType="separate"/>
            </w:r>
            <w:r>
              <w:rPr>
                <w:noProof/>
                <w:webHidden/>
              </w:rPr>
              <w:t>36</w:t>
            </w:r>
            <w:r>
              <w:rPr>
                <w:noProof/>
                <w:webHidden/>
              </w:rPr>
              <w:fldChar w:fldCharType="end"/>
            </w:r>
          </w:hyperlink>
        </w:p>
        <w:p w14:paraId="12B9E401" w14:textId="23DD81C6" w:rsidR="00863BF6" w:rsidRDefault="00863BF6">
          <w:pPr>
            <w:pStyle w:val="TDC1"/>
            <w:tabs>
              <w:tab w:val="left" w:pos="440"/>
              <w:tab w:val="right" w:leader="dot" w:pos="8828"/>
            </w:tabs>
            <w:rPr>
              <w:rFonts w:eastAsiaTheme="minorEastAsia"/>
              <w:noProof/>
              <w:sz w:val="24"/>
              <w:szCs w:val="24"/>
              <w:lang w:val="en-US"/>
            </w:rPr>
          </w:pPr>
          <w:hyperlink w:anchor="_Toc224921361" w:history="1">
            <w:r w:rsidRPr="006406B2">
              <w:rPr>
                <w:rStyle w:val="Hipervnculo"/>
                <w:rFonts w:cstheme="minorHAnsi"/>
                <w:noProof/>
              </w:rPr>
              <w:t>4</w:t>
            </w:r>
            <w:r>
              <w:rPr>
                <w:rFonts w:eastAsiaTheme="minorEastAsia"/>
                <w:noProof/>
                <w:sz w:val="24"/>
                <w:szCs w:val="24"/>
                <w:lang w:val="en-US"/>
              </w:rPr>
              <w:tab/>
            </w:r>
            <w:r w:rsidRPr="006406B2">
              <w:rPr>
                <w:rStyle w:val="Hipervnculo"/>
                <w:noProof/>
              </w:rPr>
              <w:t>Zonificación ambiental</w:t>
            </w:r>
            <w:r>
              <w:rPr>
                <w:noProof/>
                <w:webHidden/>
              </w:rPr>
              <w:tab/>
            </w:r>
            <w:r>
              <w:rPr>
                <w:noProof/>
                <w:webHidden/>
              </w:rPr>
              <w:fldChar w:fldCharType="begin"/>
            </w:r>
            <w:r>
              <w:rPr>
                <w:noProof/>
                <w:webHidden/>
              </w:rPr>
              <w:instrText xml:space="preserve"> PAGEREF _Toc224921361 \h </w:instrText>
            </w:r>
            <w:r>
              <w:rPr>
                <w:noProof/>
                <w:webHidden/>
              </w:rPr>
            </w:r>
            <w:r>
              <w:rPr>
                <w:noProof/>
                <w:webHidden/>
              </w:rPr>
              <w:fldChar w:fldCharType="separate"/>
            </w:r>
            <w:r>
              <w:rPr>
                <w:noProof/>
                <w:webHidden/>
              </w:rPr>
              <w:t>37</w:t>
            </w:r>
            <w:r>
              <w:rPr>
                <w:noProof/>
                <w:webHidden/>
              </w:rPr>
              <w:fldChar w:fldCharType="end"/>
            </w:r>
          </w:hyperlink>
        </w:p>
        <w:p w14:paraId="006CB230" w14:textId="374E8A96" w:rsidR="00863BF6" w:rsidRDefault="00863BF6">
          <w:pPr>
            <w:pStyle w:val="TDC2"/>
            <w:tabs>
              <w:tab w:val="left" w:pos="960"/>
              <w:tab w:val="right" w:leader="dot" w:pos="8828"/>
            </w:tabs>
            <w:rPr>
              <w:rFonts w:eastAsiaTheme="minorEastAsia" w:cstheme="minorBidi"/>
              <w:noProof/>
              <w:kern w:val="2"/>
              <w:szCs w:val="24"/>
              <w:lang w:val="en-US"/>
              <w14:ligatures w14:val="standardContextual"/>
            </w:rPr>
          </w:pPr>
          <w:hyperlink w:anchor="_Toc224921362" w:history="1">
            <w:r w:rsidRPr="006406B2">
              <w:rPr>
                <w:rStyle w:val="Hipervnculo"/>
                <w:noProof/>
              </w:rPr>
              <w:t>4.1</w:t>
            </w:r>
            <w:r>
              <w:rPr>
                <w:rFonts w:eastAsiaTheme="minorEastAsia" w:cstheme="minorBidi"/>
                <w:noProof/>
                <w:kern w:val="2"/>
                <w:szCs w:val="24"/>
                <w:lang w:val="en-US"/>
                <w14:ligatures w14:val="standardContextual"/>
              </w:rPr>
              <w:tab/>
            </w:r>
            <w:r w:rsidRPr="006406B2">
              <w:rPr>
                <w:rStyle w:val="Hipervnculo"/>
                <w:noProof/>
              </w:rPr>
              <w:t>Metodología para la construcción de la zonificación ambiental</w:t>
            </w:r>
            <w:r>
              <w:rPr>
                <w:noProof/>
                <w:webHidden/>
              </w:rPr>
              <w:tab/>
            </w:r>
            <w:r>
              <w:rPr>
                <w:noProof/>
                <w:webHidden/>
              </w:rPr>
              <w:fldChar w:fldCharType="begin"/>
            </w:r>
            <w:r>
              <w:rPr>
                <w:noProof/>
                <w:webHidden/>
              </w:rPr>
              <w:instrText xml:space="preserve"> PAGEREF _Toc224921362 \h </w:instrText>
            </w:r>
            <w:r>
              <w:rPr>
                <w:noProof/>
                <w:webHidden/>
              </w:rPr>
            </w:r>
            <w:r>
              <w:rPr>
                <w:noProof/>
                <w:webHidden/>
              </w:rPr>
              <w:fldChar w:fldCharType="separate"/>
            </w:r>
            <w:r>
              <w:rPr>
                <w:noProof/>
                <w:webHidden/>
              </w:rPr>
              <w:t>38</w:t>
            </w:r>
            <w:r>
              <w:rPr>
                <w:noProof/>
                <w:webHidden/>
              </w:rPr>
              <w:fldChar w:fldCharType="end"/>
            </w:r>
          </w:hyperlink>
        </w:p>
        <w:p w14:paraId="64FC9B46" w14:textId="1432A9B5" w:rsidR="00863BF6" w:rsidRDefault="00863BF6">
          <w:pPr>
            <w:pStyle w:val="TDC3"/>
            <w:tabs>
              <w:tab w:val="left" w:pos="1440"/>
              <w:tab w:val="right" w:leader="dot" w:pos="8828"/>
            </w:tabs>
            <w:rPr>
              <w:rFonts w:eastAsiaTheme="minorEastAsia"/>
              <w:noProof/>
              <w:sz w:val="24"/>
              <w:szCs w:val="24"/>
              <w:lang w:val="en-US"/>
            </w:rPr>
          </w:pPr>
          <w:hyperlink w:anchor="_Toc224921363" w:history="1">
            <w:r w:rsidRPr="006406B2">
              <w:rPr>
                <w:rStyle w:val="Hipervnculo"/>
                <w:rFonts w:cstheme="minorHAnsi"/>
                <w:noProof/>
              </w:rPr>
              <w:t>5.1.1.</w:t>
            </w:r>
            <w:r>
              <w:rPr>
                <w:rFonts w:eastAsiaTheme="minorEastAsia"/>
                <w:noProof/>
                <w:sz w:val="24"/>
                <w:szCs w:val="24"/>
                <w:lang w:val="en-US"/>
              </w:rPr>
              <w:tab/>
            </w:r>
            <w:r w:rsidRPr="006406B2">
              <w:rPr>
                <w:rStyle w:val="Hipervnculo"/>
                <w:rFonts w:cstheme="minorHAnsi"/>
                <w:noProof/>
              </w:rPr>
              <w:t>ETAPA 1. Determinación de la Oferta Ambiental</w:t>
            </w:r>
            <w:r>
              <w:rPr>
                <w:noProof/>
                <w:webHidden/>
              </w:rPr>
              <w:tab/>
            </w:r>
            <w:r>
              <w:rPr>
                <w:noProof/>
                <w:webHidden/>
              </w:rPr>
              <w:fldChar w:fldCharType="begin"/>
            </w:r>
            <w:r>
              <w:rPr>
                <w:noProof/>
                <w:webHidden/>
              </w:rPr>
              <w:instrText xml:space="preserve"> PAGEREF _Toc224921363 \h </w:instrText>
            </w:r>
            <w:r>
              <w:rPr>
                <w:noProof/>
                <w:webHidden/>
              </w:rPr>
            </w:r>
            <w:r>
              <w:rPr>
                <w:noProof/>
                <w:webHidden/>
              </w:rPr>
              <w:fldChar w:fldCharType="separate"/>
            </w:r>
            <w:r>
              <w:rPr>
                <w:noProof/>
                <w:webHidden/>
              </w:rPr>
              <w:t>39</w:t>
            </w:r>
            <w:r>
              <w:rPr>
                <w:noProof/>
                <w:webHidden/>
              </w:rPr>
              <w:fldChar w:fldCharType="end"/>
            </w:r>
          </w:hyperlink>
        </w:p>
        <w:p w14:paraId="49DDC357" w14:textId="3F02D7B9" w:rsidR="00863BF6" w:rsidRDefault="00863BF6">
          <w:pPr>
            <w:pStyle w:val="TDC3"/>
            <w:tabs>
              <w:tab w:val="left" w:pos="1440"/>
              <w:tab w:val="right" w:leader="dot" w:pos="8828"/>
            </w:tabs>
            <w:rPr>
              <w:rFonts w:eastAsiaTheme="minorEastAsia"/>
              <w:noProof/>
              <w:sz w:val="24"/>
              <w:szCs w:val="24"/>
              <w:lang w:val="en-US"/>
            </w:rPr>
          </w:pPr>
          <w:hyperlink w:anchor="_Toc224921364" w:history="1">
            <w:r w:rsidRPr="006406B2">
              <w:rPr>
                <w:rStyle w:val="Hipervnculo"/>
                <w:rFonts w:cstheme="minorHAnsi"/>
                <w:noProof/>
              </w:rPr>
              <w:t>5.1.2.</w:t>
            </w:r>
            <w:r>
              <w:rPr>
                <w:rFonts w:eastAsiaTheme="minorEastAsia"/>
                <w:noProof/>
                <w:sz w:val="24"/>
                <w:szCs w:val="24"/>
                <w:lang w:val="en-US"/>
              </w:rPr>
              <w:tab/>
            </w:r>
            <w:r w:rsidRPr="006406B2">
              <w:rPr>
                <w:rStyle w:val="Hipervnculo"/>
                <w:rFonts w:cstheme="minorHAnsi"/>
                <w:noProof/>
              </w:rPr>
              <w:t>ETAPA 2. Evaluación de las Dinámicas Socio-Ambientales (Presiones Antrópicas) sobre la Oferta de SS.EE</w:t>
            </w:r>
            <w:r>
              <w:rPr>
                <w:noProof/>
                <w:webHidden/>
              </w:rPr>
              <w:tab/>
            </w:r>
            <w:r>
              <w:rPr>
                <w:noProof/>
                <w:webHidden/>
              </w:rPr>
              <w:fldChar w:fldCharType="begin"/>
            </w:r>
            <w:r>
              <w:rPr>
                <w:noProof/>
                <w:webHidden/>
              </w:rPr>
              <w:instrText xml:space="preserve"> PAGEREF _Toc224921364 \h </w:instrText>
            </w:r>
            <w:r>
              <w:rPr>
                <w:noProof/>
                <w:webHidden/>
              </w:rPr>
            </w:r>
            <w:r>
              <w:rPr>
                <w:noProof/>
                <w:webHidden/>
              </w:rPr>
              <w:fldChar w:fldCharType="separate"/>
            </w:r>
            <w:r>
              <w:rPr>
                <w:noProof/>
                <w:webHidden/>
              </w:rPr>
              <w:t>47</w:t>
            </w:r>
            <w:r>
              <w:rPr>
                <w:noProof/>
                <w:webHidden/>
              </w:rPr>
              <w:fldChar w:fldCharType="end"/>
            </w:r>
          </w:hyperlink>
        </w:p>
        <w:p w14:paraId="5B9BD006" w14:textId="77606D60" w:rsidR="00863BF6" w:rsidRDefault="00863BF6">
          <w:pPr>
            <w:pStyle w:val="TDC3"/>
            <w:tabs>
              <w:tab w:val="left" w:pos="1440"/>
              <w:tab w:val="right" w:leader="dot" w:pos="8828"/>
            </w:tabs>
            <w:rPr>
              <w:rFonts w:eastAsiaTheme="minorEastAsia"/>
              <w:noProof/>
              <w:sz w:val="24"/>
              <w:szCs w:val="24"/>
              <w:lang w:val="en-US"/>
            </w:rPr>
          </w:pPr>
          <w:hyperlink w:anchor="_Toc224921365" w:history="1">
            <w:r w:rsidRPr="006406B2">
              <w:rPr>
                <w:rStyle w:val="Hipervnculo"/>
                <w:rFonts w:cstheme="minorHAnsi"/>
                <w:noProof/>
              </w:rPr>
              <w:t>5.1.3.</w:t>
            </w:r>
            <w:r>
              <w:rPr>
                <w:rFonts w:eastAsiaTheme="minorEastAsia"/>
                <w:noProof/>
                <w:sz w:val="24"/>
                <w:szCs w:val="24"/>
                <w:lang w:val="en-US"/>
              </w:rPr>
              <w:tab/>
            </w:r>
            <w:r w:rsidRPr="006406B2">
              <w:rPr>
                <w:rStyle w:val="Hipervnculo"/>
                <w:rFonts w:cstheme="minorHAnsi"/>
                <w:noProof/>
              </w:rPr>
              <w:t>ETAPA 3. Categorización y Priorización de Áreas De Acuerdo con la Oferta de Servicios Ecosistémicos (SS.EE) y las Dinámicas Socio-Ambientales</w:t>
            </w:r>
            <w:r>
              <w:rPr>
                <w:noProof/>
                <w:webHidden/>
              </w:rPr>
              <w:tab/>
            </w:r>
            <w:r>
              <w:rPr>
                <w:noProof/>
                <w:webHidden/>
              </w:rPr>
              <w:fldChar w:fldCharType="begin"/>
            </w:r>
            <w:r>
              <w:rPr>
                <w:noProof/>
                <w:webHidden/>
              </w:rPr>
              <w:instrText xml:space="preserve"> PAGEREF _Toc224921365 \h </w:instrText>
            </w:r>
            <w:r>
              <w:rPr>
                <w:noProof/>
                <w:webHidden/>
              </w:rPr>
            </w:r>
            <w:r>
              <w:rPr>
                <w:noProof/>
                <w:webHidden/>
              </w:rPr>
              <w:fldChar w:fldCharType="separate"/>
            </w:r>
            <w:r>
              <w:rPr>
                <w:noProof/>
                <w:webHidden/>
              </w:rPr>
              <w:t>49</w:t>
            </w:r>
            <w:r>
              <w:rPr>
                <w:noProof/>
                <w:webHidden/>
              </w:rPr>
              <w:fldChar w:fldCharType="end"/>
            </w:r>
          </w:hyperlink>
        </w:p>
        <w:p w14:paraId="038853D8" w14:textId="432859E9" w:rsidR="00863BF6" w:rsidRDefault="00863BF6">
          <w:pPr>
            <w:pStyle w:val="TDC3"/>
            <w:tabs>
              <w:tab w:val="left" w:pos="1440"/>
              <w:tab w:val="right" w:leader="dot" w:pos="8828"/>
            </w:tabs>
            <w:rPr>
              <w:rFonts w:eastAsiaTheme="minorEastAsia"/>
              <w:noProof/>
              <w:sz w:val="24"/>
              <w:szCs w:val="24"/>
              <w:lang w:val="en-US"/>
            </w:rPr>
          </w:pPr>
          <w:hyperlink w:anchor="_Toc224921366" w:history="1">
            <w:r w:rsidRPr="006406B2">
              <w:rPr>
                <w:rStyle w:val="Hipervnculo"/>
                <w:rFonts w:cstheme="minorHAnsi"/>
                <w:noProof/>
              </w:rPr>
              <w:t>5.1.4.</w:t>
            </w:r>
            <w:r>
              <w:rPr>
                <w:rFonts w:eastAsiaTheme="minorEastAsia"/>
                <w:noProof/>
                <w:sz w:val="24"/>
                <w:szCs w:val="24"/>
                <w:lang w:val="en-US"/>
              </w:rPr>
              <w:tab/>
            </w:r>
            <w:r w:rsidRPr="006406B2">
              <w:rPr>
                <w:rStyle w:val="Hipervnculo"/>
                <w:rFonts w:cstheme="minorHAnsi"/>
                <w:noProof/>
              </w:rPr>
              <w:t>ETAPA 4. Identificación de Áreas de Especial Interés Ambiental (AEIA)</w:t>
            </w:r>
            <w:r>
              <w:rPr>
                <w:noProof/>
                <w:webHidden/>
              </w:rPr>
              <w:tab/>
            </w:r>
            <w:r>
              <w:rPr>
                <w:noProof/>
                <w:webHidden/>
              </w:rPr>
              <w:fldChar w:fldCharType="begin"/>
            </w:r>
            <w:r>
              <w:rPr>
                <w:noProof/>
                <w:webHidden/>
              </w:rPr>
              <w:instrText xml:space="preserve"> PAGEREF _Toc224921366 \h </w:instrText>
            </w:r>
            <w:r>
              <w:rPr>
                <w:noProof/>
                <w:webHidden/>
              </w:rPr>
            </w:r>
            <w:r>
              <w:rPr>
                <w:noProof/>
                <w:webHidden/>
              </w:rPr>
              <w:fldChar w:fldCharType="separate"/>
            </w:r>
            <w:r>
              <w:rPr>
                <w:noProof/>
                <w:webHidden/>
              </w:rPr>
              <w:t>50</w:t>
            </w:r>
            <w:r>
              <w:rPr>
                <w:noProof/>
                <w:webHidden/>
              </w:rPr>
              <w:fldChar w:fldCharType="end"/>
            </w:r>
          </w:hyperlink>
        </w:p>
        <w:p w14:paraId="20053AE5" w14:textId="7B9BB6BF" w:rsidR="00863BF6" w:rsidRDefault="00863BF6">
          <w:pPr>
            <w:pStyle w:val="TDC3"/>
            <w:tabs>
              <w:tab w:val="left" w:pos="1440"/>
              <w:tab w:val="right" w:leader="dot" w:pos="8828"/>
            </w:tabs>
            <w:rPr>
              <w:rFonts w:eastAsiaTheme="minorEastAsia"/>
              <w:noProof/>
              <w:sz w:val="24"/>
              <w:szCs w:val="24"/>
              <w:lang w:val="en-US"/>
            </w:rPr>
          </w:pPr>
          <w:hyperlink w:anchor="_Toc224921367" w:history="1">
            <w:r w:rsidRPr="006406B2">
              <w:rPr>
                <w:rStyle w:val="Hipervnculo"/>
                <w:rFonts w:cstheme="minorHAnsi"/>
                <w:noProof/>
              </w:rPr>
              <w:t>5.1.5.</w:t>
            </w:r>
            <w:r>
              <w:rPr>
                <w:rFonts w:eastAsiaTheme="minorEastAsia"/>
                <w:noProof/>
                <w:sz w:val="24"/>
                <w:szCs w:val="24"/>
                <w:lang w:val="en-US"/>
              </w:rPr>
              <w:tab/>
            </w:r>
            <w:r w:rsidRPr="006406B2">
              <w:rPr>
                <w:rStyle w:val="Hipervnculo"/>
                <w:rFonts w:cstheme="minorHAnsi"/>
                <w:noProof/>
              </w:rPr>
              <w:t>ETAPA 5. Construcción de mapas finales de la Zonificación Ambiental de las Subregiones Supramunicipales.</w:t>
            </w:r>
            <w:r>
              <w:rPr>
                <w:noProof/>
                <w:webHidden/>
              </w:rPr>
              <w:tab/>
            </w:r>
            <w:r>
              <w:rPr>
                <w:noProof/>
                <w:webHidden/>
              </w:rPr>
              <w:fldChar w:fldCharType="begin"/>
            </w:r>
            <w:r>
              <w:rPr>
                <w:noProof/>
                <w:webHidden/>
              </w:rPr>
              <w:instrText xml:space="preserve"> PAGEREF _Toc224921367 \h </w:instrText>
            </w:r>
            <w:r>
              <w:rPr>
                <w:noProof/>
                <w:webHidden/>
              </w:rPr>
            </w:r>
            <w:r>
              <w:rPr>
                <w:noProof/>
                <w:webHidden/>
              </w:rPr>
              <w:fldChar w:fldCharType="separate"/>
            </w:r>
            <w:r>
              <w:rPr>
                <w:noProof/>
                <w:webHidden/>
              </w:rPr>
              <w:t>52</w:t>
            </w:r>
            <w:r>
              <w:rPr>
                <w:noProof/>
                <w:webHidden/>
              </w:rPr>
              <w:fldChar w:fldCharType="end"/>
            </w:r>
          </w:hyperlink>
        </w:p>
        <w:p w14:paraId="03B12A3A" w14:textId="70460096" w:rsidR="00863BF6" w:rsidRDefault="00863BF6">
          <w:pPr>
            <w:pStyle w:val="TDC1"/>
            <w:tabs>
              <w:tab w:val="left" w:pos="440"/>
              <w:tab w:val="right" w:leader="dot" w:pos="8828"/>
            </w:tabs>
            <w:rPr>
              <w:rFonts w:eastAsiaTheme="minorEastAsia"/>
              <w:noProof/>
              <w:sz w:val="24"/>
              <w:szCs w:val="24"/>
              <w:lang w:val="en-US"/>
            </w:rPr>
          </w:pPr>
          <w:hyperlink w:anchor="_Toc224921368" w:history="1">
            <w:r w:rsidRPr="006406B2">
              <w:rPr>
                <w:rStyle w:val="Hipervnculo"/>
                <w:noProof/>
                <w:lang w:val="es-ES"/>
              </w:rPr>
              <w:t>5</w:t>
            </w:r>
            <w:r>
              <w:rPr>
                <w:rFonts w:eastAsiaTheme="minorEastAsia"/>
                <w:noProof/>
                <w:sz w:val="24"/>
                <w:szCs w:val="24"/>
                <w:lang w:val="en-US"/>
              </w:rPr>
              <w:tab/>
            </w:r>
            <w:r w:rsidRPr="006406B2">
              <w:rPr>
                <w:rStyle w:val="Hipervnculo"/>
                <w:noProof/>
              </w:rPr>
              <w:t>Resultados de la zonificación ambiental en el área de aplicación del acto administrativo</w:t>
            </w:r>
            <w:r>
              <w:rPr>
                <w:noProof/>
                <w:webHidden/>
              </w:rPr>
              <w:tab/>
            </w:r>
            <w:r>
              <w:rPr>
                <w:noProof/>
                <w:webHidden/>
              </w:rPr>
              <w:fldChar w:fldCharType="begin"/>
            </w:r>
            <w:r>
              <w:rPr>
                <w:noProof/>
                <w:webHidden/>
              </w:rPr>
              <w:instrText xml:space="preserve"> PAGEREF _Toc224921368 \h </w:instrText>
            </w:r>
            <w:r>
              <w:rPr>
                <w:noProof/>
                <w:webHidden/>
              </w:rPr>
            </w:r>
            <w:r>
              <w:rPr>
                <w:noProof/>
                <w:webHidden/>
              </w:rPr>
              <w:fldChar w:fldCharType="separate"/>
            </w:r>
            <w:r>
              <w:rPr>
                <w:noProof/>
                <w:webHidden/>
              </w:rPr>
              <w:t>55</w:t>
            </w:r>
            <w:r>
              <w:rPr>
                <w:noProof/>
                <w:webHidden/>
              </w:rPr>
              <w:fldChar w:fldCharType="end"/>
            </w:r>
          </w:hyperlink>
        </w:p>
        <w:p w14:paraId="3EADAE0A" w14:textId="0F7EB774" w:rsidR="00863BF6" w:rsidRDefault="00863BF6">
          <w:pPr>
            <w:pStyle w:val="TDC1"/>
            <w:tabs>
              <w:tab w:val="left" w:pos="440"/>
              <w:tab w:val="right" w:leader="dot" w:pos="8828"/>
            </w:tabs>
            <w:rPr>
              <w:rFonts w:eastAsiaTheme="minorEastAsia"/>
              <w:noProof/>
              <w:sz w:val="24"/>
              <w:szCs w:val="24"/>
              <w:lang w:val="en-US"/>
            </w:rPr>
          </w:pPr>
          <w:hyperlink w:anchor="_Toc224921369" w:history="1">
            <w:r w:rsidRPr="006406B2">
              <w:rPr>
                <w:rStyle w:val="Hipervnculo"/>
                <w:rFonts w:cstheme="minorHAnsi"/>
                <w:noProof/>
              </w:rPr>
              <w:t>6.</w:t>
            </w:r>
            <w:r>
              <w:rPr>
                <w:rFonts w:eastAsiaTheme="minorEastAsia"/>
                <w:noProof/>
                <w:sz w:val="24"/>
                <w:szCs w:val="24"/>
                <w:lang w:val="en-US"/>
              </w:rPr>
              <w:tab/>
            </w:r>
            <w:r w:rsidRPr="006406B2">
              <w:rPr>
                <w:rStyle w:val="Hipervnculo"/>
                <w:rFonts w:cstheme="minorHAnsi"/>
                <w:noProof/>
              </w:rPr>
              <w:t>Lineamientos generales</w:t>
            </w:r>
            <w:r>
              <w:rPr>
                <w:noProof/>
                <w:webHidden/>
              </w:rPr>
              <w:tab/>
            </w:r>
            <w:r>
              <w:rPr>
                <w:noProof/>
                <w:webHidden/>
              </w:rPr>
              <w:fldChar w:fldCharType="begin"/>
            </w:r>
            <w:r>
              <w:rPr>
                <w:noProof/>
                <w:webHidden/>
              </w:rPr>
              <w:instrText xml:space="preserve"> PAGEREF _Toc224921369 \h </w:instrText>
            </w:r>
            <w:r>
              <w:rPr>
                <w:noProof/>
                <w:webHidden/>
              </w:rPr>
            </w:r>
            <w:r>
              <w:rPr>
                <w:noProof/>
                <w:webHidden/>
              </w:rPr>
              <w:fldChar w:fldCharType="separate"/>
            </w:r>
            <w:r>
              <w:rPr>
                <w:noProof/>
                <w:webHidden/>
              </w:rPr>
              <w:t>57</w:t>
            </w:r>
            <w:r>
              <w:rPr>
                <w:noProof/>
                <w:webHidden/>
              </w:rPr>
              <w:fldChar w:fldCharType="end"/>
            </w:r>
          </w:hyperlink>
        </w:p>
        <w:p w14:paraId="27FA8D9A" w14:textId="2C3075ED" w:rsidR="00863BF6" w:rsidRDefault="00863BF6">
          <w:pPr>
            <w:pStyle w:val="TDC1"/>
            <w:tabs>
              <w:tab w:val="left" w:pos="440"/>
              <w:tab w:val="right" w:leader="dot" w:pos="8828"/>
            </w:tabs>
            <w:rPr>
              <w:rFonts w:eastAsiaTheme="minorEastAsia"/>
              <w:noProof/>
              <w:sz w:val="24"/>
              <w:szCs w:val="24"/>
              <w:lang w:val="en-US"/>
            </w:rPr>
          </w:pPr>
          <w:hyperlink w:anchor="_Toc224921370" w:history="1">
            <w:r w:rsidRPr="006406B2">
              <w:rPr>
                <w:rStyle w:val="Hipervnculo"/>
                <w:noProof/>
              </w:rPr>
              <w:t>6</w:t>
            </w:r>
            <w:r>
              <w:rPr>
                <w:rFonts w:eastAsiaTheme="minorEastAsia"/>
                <w:noProof/>
                <w:sz w:val="24"/>
                <w:szCs w:val="24"/>
                <w:lang w:val="en-US"/>
              </w:rPr>
              <w:tab/>
            </w:r>
            <w:r w:rsidRPr="006406B2">
              <w:rPr>
                <w:rStyle w:val="Hipervnculo"/>
                <w:noProof/>
              </w:rPr>
              <w:t>Espacios de participación sostenidos</w:t>
            </w:r>
            <w:r>
              <w:rPr>
                <w:noProof/>
                <w:webHidden/>
              </w:rPr>
              <w:tab/>
            </w:r>
            <w:r>
              <w:rPr>
                <w:noProof/>
                <w:webHidden/>
              </w:rPr>
              <w:fldChar w:fldCharType="begin"/>
            </w:r>
            <w:r>
              <w:rPr>
                <w:noProof/>
                <w:webHidden/>
              </w:rPr>
              <w:instrText xml:space="preserve"> PAGEREF _Toc224921370 \h </w:instrText>
            </w:r>
            <w:r>
              <w:rPr>
                <w:noProof/>
                <w:webHidden/>
              </w:rPr>
            </w:r>
            <w:r>
              <w:rPr>
                <w:noProof/>
                <w:webHidden/>
              </w:rPr>
              <w:fldChar w:fldCharType="separate"/>
            </w:r>
            <w:r>
              <w:rPr>
                <w:noProof/>
                <w:webHidden/>
              </w:rPr>
              <w:t>60</w:t>
            </w:r>
            <w:r>
              <w:rPr>
                <w:noProof/>
                <w:webHidden/>
              </w:rPr>
              <w:fldChar w:fldCharType="end"/>
            </w:r>
          </w:hyperlink>
        </w:p>
        <w:p w14:paraId="6A4CDD55" w14:textId="5A28D2B9" w:rsidR="00863BF6" w:rsidRDefault="00863BF6">
          <w:r>
            <w:rPr>
              <w:b/>
              <w:bCs/>
              <w:noProof/>
            </w:rPr>
            <w:fldChar w:fldCharType="end"/>
          </w:r>
        </w:p>
      </w:sdtContent>
    </w:sdt>
    <w:p w14:paraId="2E41AE66" w14:textId="77777777" w:rsidR="00863BF6" w:rsidRDefault="00863BF6">
      <w:pPr>
        <w:rPr>
          <w:rFonts w:asciiTheme="majorHAnsi" w:eastAsiaTheme="majorEastAsia" w:hAnsiTheme="majorHAnsi" w:cstheme="majorBidi"/>
          <w:b/>
          <w:bCs/>
          <w:color w:val="2F5496" w:themeColor="accent1" w:themeShade="BF"/>
          <w:sz w:val="32"/>
          <w:szCs w:val="32"/>
        </w:rPr>
      </w:pPr>
      <w:r>
        <w:rPr>
          <w:b/>
          <w:bCs/>
        </w:rPr>
        <w:br w:type="page"/>
      </w:r>
    </w:p>
    <w:p w14:paraId="5FCD6EB2" w14:textId="1DA3C177" w:rsidR="00E160C3" w:rsidRPr="00FC5B6A" w:rsidRDefault="00475594" w:rsidP="00475594">
      <w:pPr>
        <w:pStyle w:val="Ttulo1"/>
        <w:numPr>
          <w:ilvl w:val="0"/>
          <w:numId w:val="0"/>
        </w:numPr>
        <w:rPr>
          <w:b/>
          <w:bCs/>
        </w:rPr>
      </w:pPr>
      <w:bookmarkStart w:id="3" w:name="_Toc224921348"/>
      <w:r w:rsidRPr="00FC5B6A">
        <w:rPr>
          <w:b/>
          <w:bCs/>
        </w:rPr>
        <w:lastRenderedPageBreak/>
        <w:t>INTRODUCCIÓN</w:t>
      </w:r>
      <w:bookmarkEnd w:id="2"/>
      <w:bookmarkEnd w:id="3"/>
    </w:p>
    <w:p w14:paraId="5AA84902" w14:textId="77777777" w:rsidR="005E5E88" w:rsidRPr="00FC5B6A" w:rsidRDefault="005E5E88"/>
    <w:p w14:paraId="6F5F6048" w14:textId="6F282434" w:rsidR="00994A2B" w:rsidRPr="00FC5B6A" w:rsidRDefault="0983F672" w:rsidP="0983F672">
      <w:pPr>
        <w:jc w:val="both"/>
      </w:pPr>
      <w:r w:rsidRPr="00FC5B6A">
        <w:t>De acuerdo a la Constitución Política de Colombia en sus artículos 8, 79, 80, 332 y 334 es deber del Estado y de las personas: proteger las riquezas naturales, conservar áreas ecológicas y planificar su manejo; as</w:t>
      </w:r>
      <w:r w:rsidR="00D647C0">
        <w:t>í</w:t>
      </w:r>
      <w:r w:rsidRPr="00FC5B6A">
        <w:t xml:space="preserve"> mismo la Carta Magna en su artículo 58 nos indica que la propiedad en el país tiene una función ecológica y social, y por último en los artículos 64, 65 y 66 se indica la protección especial que se debe realizar a la comunidad campesina y a la producción de alimentos para la pervivencia de las y los colombianos.</w:t>
      </w:r>
    </w:p>
    <w:p w14:paraId="7F7D536F" w14:textId="50FBEAF5" w:rsidR="003221CB" w:rsidRPr="00FC5B6A" w:rsidRDefault="001C5B0D" w:rsidP="003221CB">
      <w:pPr>
        <w:jc w:val="both"/>
        <w:rPr>
          <w:rFonts w:cstheme="minorHAnsi"/>
        </w:rPr>
      </w:pPr>
      <w:r w:rsidRPr="00FC5B6A">
        <w:rPr>
          <w:rFonts w:cstheme="minorHAnsi"/>
        </w:rPr>
        <w:t>Ahora bien, e</w:t>
      </w:r>
      <w:r w:rsidR="00640845" w:rsidRPr="00FC5B6A">
        <w:rPr>
          <w:rFonts w:cstheme="minorHAnsi"/>
        </w:rPr>
        <w:t>n e</w:t>
      </w:r>
      <w:r w:rsidR="003221CB" w:rsidRPr="00FC5B6A">
        <w:rPr>
          <w:rFonts w:cstheme="minorHAnsi"/>
        </w:rPr>
        <w:t>l artículo 1° de la Ley 2 de 1959 “</w:t>
      </w:r>
      <w:r w:rsidR="003221CB" w:rsidRPr="00FC5B6A">
        <w:rPr>
          <w:rFonts w:cstheme="minorHAnsi"/>
          <w:i/>
          <w:iCs/>
        </w:rPr>
        <w:t>Sobre Economía Forestal de la Nación y Conservación de Recursos Naturales Renovables</w:t>
      </w:r>
      <w:r w:rsidR="003221CB" w:rsidRPr="00FC5B6A">
        <w:rPr>
          <w:rFonts w:cstheme="minorHAnsi"/>
        </w:rPr>
        <w:t>” y el Decreto 111 de 1959 “</w:t>
      </w:r>
      <w:r w:rsidR="003221CB" w:rsidRPr="00FC5B6A">
        <w:rPr>
          <w:i/>
          <w:iCs/>
        </w:rPr>
        <w:t>Por el cual se establece una reserva forestal</w:t>
      </w:r>
      <w:r w:rsidR="003221CB" w:rsidRPr="00FC5B6A">
        <w:t>”</w:t>
      </w:r>
      <w:r w:rsidR="003221CB" w:rsidRPr="00FC5B6A">
        <w:rPr>
          <w:rFonts w:cstheme="minorHAnsi"/>
        </w:rPr>
        <w:t>, se establecieron con carácter de</w:t>
      </w:r>
      <w:r w:rsidR="003221CB" w:rsidRPr="00FC5B6A">
        <w:rPr>
          <w:rFonts w:cstheme="minorHAnsi"/>
          <w:i/>
          <w:iCs/>
        </w:rPr>
        <w:t xml:space="preserve"> "Zonas Forestales Protectoras</w:t>
      </w:r>
      <w:r w:rsidR="003221CB" w:rsidRPr="00FC5B6A">
        <w:rPr>
          <w:rFonts w:cstheme="minorHAnsi"/>
        </w:rPr>
        <w:t>" y "</w:t>
      </w:r>
      <w:r w:rsidR="003221CB" w:rsidRPr="00FC5B6A">
        <w:rPr>
          <w:rFonts w:cstheme="minorHAnsi"/>
          <w:i/>
          <w:iCs/>
        </w:rPr>
        <w:t>Bosques de Interés General</w:t>
      </w:r>
      <w:r w:rsidR="003221CB" w:rsidRPr="00FC5B6A">
        <w:rPr>
          <w:rFonts w:cstheme="minorHAnsi"/>
        </w:rPr>
        <w:t xml:space="preserve">", siete zonas de reserva forestal denominadas: del Pacífico, Central, del río Magdalena, de la Sierra Nevada de Santa Marta, de la Serranía de los Motilones, del Cocuy y de la Amazonía, para el desarrollo de la economía forestal y la protección de los suelos, las aguas y la vida silvestre. </w:t>
      </w:r>
    </w:p>
    <w:p w14:paraId="50E3235B" w14:textId="34D02DFB" w:rsidR="00CA1BB3" w:rsidRPr="00FC5B6A" w:rsidRDefault="001C5B0D" w:rsidP="003221CB">
      <w:pPr>
        <w:jc w:val="both"/>
        <w:rPr>
          <w:rFonts w:cstheme="minorHAnsi"/>
        </w:rPr>
      </w:pPr>
      <w:r w:rsidRPr="00FC5B6A">
        <w:rPr>
          <w:rFonts w:cstheme="minorHAnsi"/>
        </w:rPr>
        <w:t xml:space="preserve">A partir de lo anterior, el Decreto Ley 2811 </w:t>
      </w:r>
      <w:r w:rsidR="00CA1BB3" w:rsidRPr="00FC5B6A">
        <w:rPr>
          <w:rFonts w:cstheme="minorHAnsi"/>
        </w:rPr>
        <w:t xml:space="preserve">de 1974 </w:t>
      </w:r>
      <w:r w:rsidRPr="00FC5B6A">
        <w:rPr>
          <w:rFonts w:cstheme="minorHAnsi"/>
        </w:rPr>
        <w:t xml:space="preserve">por medio del cual se adoptó el </w:t>
      </w:r>
      <w:r w:rsidRPr="00FC5B6A">
        <w:rPr>
          <w:rFonts w:cstheme="minorHAnsi"/>
          <w:i/>
          <w:iCs/>
        </w:rPr>
        <w:t>Código de los Recursos Naturales</w:t>
      </w:r>
      <w:r w:rsidR="00CA1BB3" w:rsidRPr="00FC5B6A">
        <w:rPr>
          <w:rFonts w:cstheme="minorHAnsi"/>
          <w:i/>
          <w:iCs/>
        </w:rPr>
        <w:t xml:space="preserve"> </w:t>
      </w:r>
      <w:r w:rsidR="00CA1BB3" w:rsidRPr="00FC5B6A">
        <w:rPr>
          <w:rFonts w:cstheme="minorHAnsi"/>
        </w:rPr>
        <w:t>en sus artículos 202 hasta el 210 define las reservas forestales, su uso racional, lo pertinente a las sustracciones y la prohibición de adjudicar baldíos en estas áreas.</w:t>
      </w:r>
    </w:p>
    <w:p w14:paraId="0BBAD211" w14:textId="754F9F84" w:rsidR="0084039A" w:rsidRPr="00FC5B6A" w:rsidRDefault="0983F672" w:rsidP="0983F672">
      <w:pPr>
        <w:jc w:val="both"/>
      </w:pPr>
      <w:r w:rsidRPr="00FC5B6A">
        <w:t>Por otra parte, la Ley 1450 de 2011 determinó en su artículo 202 que el Ministerio de Ambiente, Vivienda y Desarrollo Territorial (hoy Ministerio de Ambiente y Desarrollo Sostenible), con base en estudios técnicos del Instituto Humboldt, debía realizar la delimitación de los páramos y humedales Ramsar. E indicó que los páramos son un ecosistema estratégico de alta montaña que cumple un papel fundamental en la regulación hídrica, y un soporte esencial para la vida en distintos territorios.</w:t>
      </w:r>
    </w:p>
    <w:p w14:paraId="29A93119" w14:textId="067DBC80" w:rsidR="00962160" w:rsidRPr="00FC5B6A" w:rsidRDefault="009740D3" w:rsidP="2196B9FA">
      <w:pPr>
        <w:jc w:val="both"/>
      </w:pPr>
      <w:r w:rsidRPr="00FC5B6A">
        <w:t>Asimismo, e</w:t>
      </w:r>
      <w:r w:rsidR="00050B22" w:rsidRPr="00FC5B6A">
        <w:t xml:space="preserve">l parágrafo 3 del artículo 204 de la </w:t>
      </w:r>
      <w:r w:rsidR="0084039A" w:rsidRPr="00FC5B6A">
        <w:t>misma Ley indic</w:t>
      </w:r>
      <w:r w:rsidRPr="00FC5B6A">
        <w:t>ó</w:t>
      </w:r>
      <w:r w:rsidR="00BE1483" w:rsidRPr="00FC5B6A">
        <w:t xml:space="preserve"> </w:t>
      </w:r>
      <w:r w:rsidR="00050B22" w:rsidRPr="00FC5B6A">
        <w:t xml:space="preserve">que: </w:t>
      </w:r>
      <w:r w:rsidR="00050B22" w:rsidRPr="00FC5B6A">
        <w:rPr>
          <w:i/>
          <w:iCs/>
        </w:rPr>
        <w:t xml:space="preserve">“Las áreas de reserva forestal establecidas por el artículo 1° de la Ley 2ª de 1959 y las demás áreas de reserva forestal nacionales, únicamente podrán ser objeto de </w:t>
      </w:r>
      <w:proofErr w:type="spellStart"/>
      <w:r w:rsidR="00050B22" w:rsidRPr="00FC5B6A">
        <w:rPr>
          <w:i/>
          <w:iCs/>
        </w:rPr>
        <w:t>realinderación</w:t>
      </w:r>
      <w:proofErr w:type="spellEnd"/>
      <w:r w:rsidR="00050B22" w:rsidRPr="00FC5B6A">
        <w:rPr>
          <w:i/>
          <w:iCs/>
        </w:rPr>
        <w:t>, sustracción, zonificación, ordenamiento, recategorización, incorporación, integración y definición del régimen de usos, por parte del Ministerio de Ambiente, Vivienda y Desarrollo Territorial o la entidad que haga sus veces con base en estudios técnicos, económicos, sociales y ambientales y con la colaboración del Ministerio respectivo según el área de interés de que se trate”</w:t>
      </w:r>
      <w:r w:rsidR="00A06732" w:rsidRPr="00FC5B6A">
        <w:rPr>
          <w:i/>
          <w:iCs/>
        </w:rPr>
        <w:t>.</w:t>
      </w:r>
    </w:p>
    <w:p w14:paraId="7DBCFB1F" w14:textId="2B407913" w:rsidR="00F95F46" w:rsidRPr="00FC5B6A" w:rsidRDefault="0983F672" w:rsidP="000F7D4D">
      <w:pPr>
        <w:jc w:val="both"/>
      </w:pPr>
      <w:r w:rsidRPr="00FC5B6A">
        <w:t xml:space="preserve">En cumplimiento de lo descrito, el Ministerio de Ambiente y Desarrollo Sostenible, en los años 2013 a 2014, desarrolló de manera articulada con otras entidades del Sistema Nacional Ambiental (SINA) los respectivos estudios técnicos, económicos, sociales y ambientales de las siete reservas forestales de la Ley 2 de 1959, definiendo allí su zonificación y ordenamiento. Esta zonificación da como resultado las zonas A, B y C para las siete Áreas de reserva Forestal: Cocuy, Sierra Nevada de Santa Marta, Central, Serranía de los Motilones, Río Magdalena, Pacífico, Amazonía (en los departamentos de Amazonas, Cauca, Guainía, Putumayo y Vaupés) y Amazonía (en los departamentos de Caquetá, Guaviare y Huila). Estas zonificaciones fueron adoptadas mediante las Resoluciones 1922 del 27 de diciembre de 2013, 1923 del 27 de diciembre de 2013, 1924 del 30 de diciembre de 2013, 1925 del </w:t>
      </w:r>
      <w:r w:rsidRPr="00FC5B6A">
        <w:lastRenderedPageBreak/>
        <w:t>30 de diciembre de 2013, 1926 del 30 de diciembre de 2013, 1275 del 6 de agosto de 2014, 1276 del 6 de agosto de 2014 y 1277 del 6 de agosto de 2014, del Ministerio de Ambiente y Desarrollo Sostenible.</w:t>
      </w:r>
    </w:p>
    <w:p w14:paraId="4A4E2C08" w14:textId="20B520CA" w:rsidR="00BB4F7D" w:rsidRPr="00FC5B6A" w:rsidRDefault="00BB4F7D" w:rsidP="000F7D4D">
      <w:pPr>
        <w:jc w:val="both"/>
        <w:rPr>
          <w:rFonts w:cstheme="minorHAnsi"/>
        </w:rPr>
      </w:pPr>
      <w:r w:rsidRPr="00FC5B6A">
        <w:rPr>
          <w:rFonts w:cstheme="minorHAnsi"/>
        </w:rPr>
        <w:t xml:space="preserve">Ahora bien, a partir de lo establecido en el Artículo 173° de la Ley 1753 de 2015 (Plan Nacional de Desarrollo 2014-2018) y el Artículo 4° de la Ley 1930 de 2018 </w:t>
      </w:r>
      <w:r w:rsidRPr="00FC5B6A">
        <w:rPr>
          <w:rFonts w:cstheme="minorHAnsi"/>
          <w:i/>
          <w:iCs/>
        </w:rPr>
        <w:t>“Por medio de la cual se dictan disposiciones para la gestión integral de los páramos en Colombia”,</w:t>
      </w:r>
      <w:r w:rsidRPr="00FC5B6A">
        <w:rPr>
          <w:rFonts w:cstheme="minorHAnsi"/>
        </w:rPr>
        <w:t xml:space="preserve"> el Ministerio de Ambiente y Desarrollo Sostenible tiene la responsabilidad de elaborar los actos administrativos para delimitar los páramos del país, con el fin de proteger estos ecosistemas del desarrollo de actividades agropecuarias, mineras o de hidrocarburos, y potenciar su papel en la regulación del ciclo hidrológico. Dentro de ese contexto hasta la fecha, esta entidad ha llevado a cabo la delimitación de </w:t>
      </w:r>
      <w:r w:rsidR="00BE1483" w:rsidRPr="00FC5B6A">
        <w:rPr>
          <w:rFonts w:cstheme="minorHAnsi"/>
        </w:rPr>
        <w:t xml:space="preserve">37 </w:t>
      </w:r>
      <w:r w:rsidRPr="00FC5B6A">
        <w:rPr>
          <w:rFonts w:cstheme="minorHAnsi"/>
        </w:rPr>
        <w:t>páramos a nivel nacional.</w:t>
      </w:r>
    </w:p>
    <w:p w14:paraId="071618A0" w14:textId="43F86E42" w:rsidR="0018292F" w:rsidRPr="00FC5B6A" w:rsidRDefault="002B17DE" w:rsidP="00962160">
      <w:pPr>
        <w:jc w:val="both"/>
        <w:rPr>
          <w:b/>
          <w:bCs/>
          <w:color w:val="FF0000"/>
        </w:rPr>
      </w:pPr>
      <w:r w:rsidRPr="00FC5B6A">
        <w:t>Por otra parte,</w:t>
      </w:r>
      <w:r w:rsidR="0018292F" w:rsidRPr="00FC5B6A">
        <w:t xml:space="preserve"> e</w:t>
      </w:r>
      <w:r w:rsidR="0018292F" w:rsidRPr="00FC5B6A">
        <w:rPr>
          <w:rFonts w:cstheme="minorHAnsi"/>
        </w:rPr>
        <w:t xml:space="preserve">l punto 1.1.10 del Acuerdo de </w:t>
      </w:r>
      <w:r w:rsidR="00640845" w:rsidRPr="00FC5B6A">
        <w:rPr>
          <w:rFonts w:cstheme="minorHAnsi"/>
        </w:rPr>
        <w:t>F</w:t>
      </w:r>
      <w:r w:rsidR="0018292F" w:rsidRPr="00FC5B6A">
        <w:rPr>
          <w:rFonts w:cstheme="minorHAnsi"/>
        </w:rPr>
        <w:t xml:space="preserve">inal de </w:t>
      </w:r>
      <w:r w:rsidR="00640845" w:rsidRPr="00FC5B6A">
        <w:rPr>
          <w:rFonts w:cstheme="minorHAnsi"/>
        </w:rPr>
        <w:t>P</w:t>
      </w:r>
      <w:r w:rsidR="0018292F" w:rsidRPr="00FC5B6A">
        <w:rPr>
          <w:rFonts w:cstheme="minorHAnsi"/>
        </w:rPr>
        <w:t>az</w:t>
      </w:r>
      <w:r w:rsidR="004355F3" w:rsidRPr="00FC5B6A">
        <w:rPr>
          <w:rFonts w:cstheme="minorHAnsi"/>
        </w:rPr>
        <w:t xml:space="preserve"> (AFP)</w:t>
      </w:r>
      <w:r w:rsidR="0018292F" w:rsidRPr="00FC5B6A">
        <w:rPr>
          <w:rFonts w:cstheme="minorHAnsi"/>
        </w:rPr>
        <w:t xml:space="preserve"> textualmente plantea: “</w:t>
      </w:r>
      <w:r w:rsidR="0018292F" w:rsidRPr="00FC5B6A">
        <w:rPr>
          <w:rFonts w:cstheme="minorHAnsi"/>
          <w:i/>
          <w:iCs/>
        </w:rPr>
        <w:t xml:space="preserve">Cierre de la frontera agrícola y protección de zonas de reserva: con el propósito de delimitar la frontera agrícola, proteger las áreas de especial interés ambiental y generar para la población que colinda con ellas o las ocupan, alternativas equilibradas entre medio ambiente y bienestar y buen vivir, bajo los principios de Participación de las comunidades rurales y Desarrollo sostenible, el Gobierno Nacional:  </w:t>
      </w:r>
      <w:r w:rsidR="0018292F" w:rsidRPr="00FC5B6A">
        <w:rPr>
          <w:rFonts w:cstheme="minorHAnsi"/>
          <w:b/>
          <w:bCs/>
          <w:i/>
          <w:iCs/>
        </w:rPr>
        <w:t>Desarrollará en un plazo no mayor a 2 años un Plan de zonificación ambiental que delimite la frontera agrícola y que permita actualizar y de ser necesario ampliar el inventario, y caracterizar el uso de las áreas que deben tener un manejo ambiental especial, tales como: zonas de reserva forestal</w:t>
      </w:r>
      <w:r w:rsidR="0018292F" w:rsidRPr="00FC5B6A">
        <w:rPr>
          <w:rFonts w:cstheme="minorHAnsi"/>
          <w:i/>
          <w:iCs/>
        </w:rPr>
        <w:t>, zonas de alta biodiversidad, ecosistemas frágiles y estratégicos, cuencas, páramos y humedales y demás fuentes y recursos hídricos, con miras a proteger la biodiversidad y el derecho progresivo al agua de la población, propiciando su uso raciona</w:t>
      </w:r>
      <w:r w:rsidR="000B4E73" w:rsidRPr="00FC5B6A">
        <w:rPr>
          <w:rFonts w:cstheme="minorHAnsi"/>
        </w:rPr>
        <w:t>l”.</w:t>
      </w:r>
    </w:p>
    <w:p w14:paraId="75BB6526" w14:textId="265A2B6E" w:rsidR="0018292F" w:rsidRPr="00FC5B6A" w:rsidRDefault="00206FF7" w:rsidP="00962160">
      <w:pPr>
        <w:jc w:val="both"/>
        <w:rPr>
          <w:rFonts w:cstheme="minorHAnsi"/>
        </w:rPr>
      </w:pPr>
      <w:r w:rsidRPr="00FC5B6A">
        <w:rPr>
          <w:rFonts w:cstheme="minorHAnsi"/>
        </w:rPr>
        <w:t>E</w:t>
      </w:r>
      <w:r w:rsidR="0018292F" w:rsidRPr="00FC5B6A">
        <w:rPr>
          <w:rFonts w:cstheme="minorHAnsi"/>
        </w:rPr>
        <w:t xml:space="preserve">n cumplimiento del punto 1.1.10 del </w:t>
      </w:r>
      <w:r w:rsidR="001523F4" w:rsidRPr="00FC5B6A">
        <w:rPr>
          <w:rFonts w:cstheme="minorHAnsi"/>
        </w:rPr>
        <w:t>AFP</w:t>
      </w:r>
      <w:r w:rsidR="0018292F" w:rsidRPr="00FC5B6A">
        <w:rPr>
          <w:rFonts w:cstheme="minorHAnsi"/>
        </w:rPr>
        <w:t xml:space="preserve">, la Dirección de </w:t>
      </w:r>
      <w:r w:rsidR="00640845" w:rsidRPr="00FC5B6A">
        <w:rPr>
          <w:rFonts w:cstheme="minorHAnsi"/>
        </w:rPr>
        <w:t>O</w:t>
      </w:r>
      <w:r w:rsidR="0018292F" w:rsidRPr="00FC5B6A">
        <w:rPr>
          <w:rFonts w:cstheme="minorHAnsi"/>
        </w:rPr>
        <w:t xml:space="preserve">rdenamiento </w:t>
      </w:r>
      <w:r w:rsidR="00640845" w:rsidRPr="00FC5B6A">
        <w:rPr>
          <w:rFonts w:cstheme="minorHAnsi"/>
        </w:rPr>
        <w:t>A</w:t>
      </w:r>
      <w:r w:rsidR="0018292F" w:rsidRPr="00FC5B6A">
        <w:rPr>
          <w:rFonts w:cstheme="minorHAnsi"/>
        </w:rPr>
        <w:t xml:space="preserve">mbiental </w:t>
      </w:r>
      <w:r w:rsidR="00640845" w:rsidRPr="00FC5B6A">
        <w:rPr>
          <w:rFonts w:cstheme="minorHAnsi"/>
        </w:rPr>
        <w:t>Territorial</w:t>
      </w:r>
      <w:r w:rsidR="001523F4" w:rsidRPr="00FC5B6A">
        <w:rPr>
          <w:rFonts w:cstheme="minorHAnsi"/>
        </w:rPr>
        <w:t xml:space="preserve"> </w:t>
      </w:r>
      <w:r w:rsidR="001523F4" w:rsidRPr="00E74796">
        <w:rPr>
          <w:rFonts w:cstheme="minorHAnsi"/>
        </w:rPr>
        <w:t>(DOAT)</w:t>
      </w:r>
      <w:r w:rsidR="0018292F" w:rsidRPr="00E74796">
        <w:rPr>
          <w:rFonts w:cstheme="minorHAnsi"/>
        </w:rPr>
        <w:t xml:space="preserve"> y </w:t>
      </w:r>
      <w:r w:rsidR="00D56A49" w:rsidRPr="00E74796">
        <w:rPr>
          <w:rFonts w:cstheme="minorHAnsi"/>
        </w:rPr>
        <w:t xml:space="preserve">el </w:t>
      </w:r>
      <w:r w:rsidR="0018292F" w:rsidRPr="00E74796">
        <w:rPr>
          <w:rFonts w:cstheme="minorHAnsi"/>
        </w:rPr>
        <w:t>SINA</w:t>
      </w:r>
      <w:r w:rsidR="0018292F" w:rsidRPr="00FC5B6A">
        <w:rPr>
          <w:rFonts w:cstheme="minorHAnsi"/>
        </w:rPr>
        <w:t>, formul</w:t>
      </w:r>
      <w:r w:rsidR="00D56A49" w:rsidRPr="00FC5B6A">
        <w:rPr>
          <w:rFonts w:cstheme="minorHAnsi"/>
        </w:rPr>
        <w:t>aron</w:t>
      </w:r>
      <w:r w:rsidR="0018292F" w:rsidRPr="00FC5B6A">
        <w:rPr>
          <w:rFonts w:cstheme="minorHAnsi"/>
        </w:rPr>
        <w:t xml:space="preserve"> el Plan de </w:t>
      </w:r>
      <w:r w:rsidR="00640845" w:rsidRPr="00FC5B6A">
        <w:rPr>
          <w:rFonts w:cstheme="minorHAnsi"/>
        </w:rPr>
        <w:t>Z</w:t>
      </w:r>
      <w:r w:rsidR="0018292F" w:rsidRPr="00FC5B6A">
        <w:rPr>
          <w:rFonts w:cstheme="minorHAnsi"/>
        </w:rPr>
        <w:t xml:space="preserve">onificación </w:t>
      </w:r>
      <w:r w:rsidR="00640845" w:rsidRPr="00FC5B6A">
        <w:rPr>
          <w:rFonts w:cstheme="minorHAnsi"/>
        </w:rPr>
        <w:t>A</w:t>
      </w:r>
      <w:r w:rsidR="0018292F" w:rsidRPr="00FC5B6A">
        <w:rPr>
          <w:rFonts w:cstheme="minorHAnsi"/>
        </w:rPr>
        <w:t>mbiental</w:t>
      </w:r>
      <w:r w:rsidR="006D7348" w:rsidRPr="00FC5B6A">
        <w:rPr>
          <w:rFonts w:cstheme="minorHAnsi"/>
        </w:rPr>
        <w:t xml:space="preserve"> (PZA)</w:t>
      </w:r>
      <w:r w:rsidR="0018292F" w:rsidRPr="00FC5B6A">
        <w:rPr>
          <w:rFonts w:cstheme="minorHAnsi"/>
        </w:rPr>
        <w:t xml:space="preserve">, el cual fue adoptado por el </w:t>
      </w:r>
      <w:r w:rsidR="001523F4" w:rsidRPr="00FC5B6A">
        <w:rPr>
          <w:rFonts w:cstheme="minorHAnsi"/>
        </w:rPr>
        <w:t>Min</w:t>
      </w:r>
      <w:r w:rsidR="00684F59" w:rsidRPr="00FC5B6A">
        <w:rPr>
          <w:rFonts w:cstheme="minorHAnsi"/>
        </w:rPr>
        <w:t>isterio</w:t>
      </w:r>
      <w:r w:rsidR="0018292F" w:rsidRPr="00FC5B6A">
        <w:rPr>
          <w:rFonts w:cstheme="minorHAnsi"/>
        </w:rPr>
        <w:t xml:space="preserve"> mediante la Resolución 1608 de diciembre 29 de 2021</w:t>
      </w:r>
      <w:r w:rsidR="00B23ED0" w:rsidRPr="00FC5B6A">
        <w:rPr>
          <w:rFonts w:cstheme="minorHAnsi"/>
        </w:rPr>
        <w:t xml:space="preserve"> </w:t>
      </w:r>
      <w:r w:rsidR="00895649" w:rsidRPr="00FC5B6A">
        <w:rPr>
          <w:rFonts w:cstheme="minorHAnsi"/>
        </w:rPr>
        <w:t>para los</w:t>
      </w:r>
      <w:r w:rsidR="00B23ED0" w:rsidRPr="00FC5B6A">
        <w:rPr>
          <w:rFonts w:cstheme="minorHAnsi"/>
        </w:rPr>
        <w:t xml:space="preserve"> 170 municipios priorizados para los Programas de </w:t>
      </w:r>
      <w:r w:rsidR="00640845" w:rsidRPr="00FC5B6A">
        <w:rPr>
          <w:rFonts w:cstheme="minorHAnsi"/>
        </w:rPr>
        <w:t>D</w:t>
      </w:r>
      <w:r w:rsidR="00B23ED0" w:rsidRPr="00FC5B6A">
        <w:rPr>
          <w:rFonts w:cstheme="minorHAnsi"/>
        </w:rPr>
        <w:t xml:space="preserve">esarrollo con </w:t>
      </w:r>
      <w:r w:rsidR="00640845" w:rsidRPr="00FC5B6A">
        <w:rPr>
          <w:rFonts w:cstheme="minorHAnsi"/>
        </w:rPr>
        <w:t>E</w:t>
      </w:r>
      <w:r w:rsidR="00B23ED0" w:rsidRPr="00FC5B6A">
        <w:rPr>
          <w:rFonts w:cstheme="minorHAnsi"/>
        </w:rPr>
        <w:t xml:space="preserve">nfoque </w:t>
      </w:r>
      <w:r w:rsidR="00640845" w:rsidRPr="00FC5B6A">
        <w:rPr>
          <w:rFonts w:cstheme="minorHAnsi"/>
        </w:rPr>
        <w:t>T</w:t>
      </w:r>
      <w:r w:rsidR="00B23ED0" w:rsidRPr="00FC5B6A">
        <w:rPr>
          <w:rFonts w:cstheme="minorHAnsi"/>
        </w:rPr>
        <w:t>erritorial (PDET)</w:t>
      </w:r>
      <w:r w:rsidRPr="00FC5B6A">
        <w:rPr>
          <w:rFonts w:cstheme="minorHAnsi"/>
        </w:rPr>
        <w:t>. Este Plan contiene</w:t>
      </w:r>
      <w:r w:rsidR="0035686A" w:rsidRPr="00FC5B6A">
        <w:rPr>
          <w:rFonts w:cstheme="minorHAnsi"/>
        </w:rPr>
        <w:t xml:space="preserve"> entre otros,</w:t>
      </w:r>
      <w:r w:rsidRPr="00FC5B6A">
        <w:rPr>
          <w:rFonts w:cstheme="minorHAnsi"/>
        </w:rPr>
        <w:t xml:space="preserve"> una zonificación ambiental a escala 1:100.000 desarrollada a partir de una metodología basada en la oferta de servicios ecosistémicos y las dinámicas socioambientales.</w:t>
      </w:r>
    </w:p>
    <w:p w14:paraId="73500706" w14:textId="7201D413" w:rsidR="000350B9" w:rsidRPr="00FC5B6A" w:rsidRDefault="008375B3" w:rsidP="22DF84DA">
      <w:pPr>
        <w:jc w:val="both"/>
      </w:pPr>
      <w:r>
        <w:t>Mas adelante</w:t>
      </w:r>
      <w:r w:rsidR="0983F672" w:rsidRPr="00FC5B6A">
        <w:t xml:space="preserve">, entre el 5 y 8 de agosto de 2025 se dieron movilizaciones en el departamento de Boyacá como respuesta directa a la inconformidad generada en las comunidades campesinas y de alta montaña, entre otras, por la zonificación establecida en la Resolución 1275 de 2014, la cual se adoptó la zonificación y ordenamiento en la Reserva Forestal del Cocuy. </w:t>
      </w:r>
    </w:p>
    <w:p w14:paraId="03327D24" w14:textId="7D670345" w:rsidR="00BB4F7D" w:rsidRPr="00FC5B6A" w:rsidRDefault="0983F672" w:rsidP="22DF84DA">
      <w:pPr>
        <w:jc w:val="both"/>
      </w:pPr>
      <w:r w:rsidRPr="00FC5B6A">
        <w:t xml:space="preserve">Luego de espacios de diálogo entre el Gobierno Nacional y la Federación de Parameros del Nororiente Colombiano, se establecieron los siguientes puntos de acuerdo:  en el que se estableció la necesidad de iniciar el trámite revisar en términos técnicos y jurídicos la revocatoria directa de dicha resolución, así como de la Resolución 1405 de 2018, garantizando el debido proceso y la continuidad de instrumentos de protección ambiental. Con lo anterior, el ejercicio presentado a continuación permite responder a las demandas realizadas por las comunidades del páramo y a la vez proteger y dar lineamientos para la conservación de las áreas que se encuentran traslapadas entre el ecosistema de Páramo del Cocuy y la Reserva Forestal del Cocuy, teniendo como base </w:t>
      </w:r>
      <w:r w:rsidRPr="00FC5B6A">
        <w:lastRenderedPageBreak/>
        <w:t xml:space="preserve">esencial el arraigo territorial de los habitantes tradicionales de páramo, el respeto por sus derechos y la necesidad de la realización de actividades productivas asociadas a la seguridad y soberanía alimentaria de las comunidades parameras y la ponderación del derecho fundamental a un ambiente sano y a la garantía de provisión de servicios ecosistémicos por parte del páramo para su habitantes y comunidades beneficiadas. </w:t>
      </w:r>
    </w:p>
    <w:p w14:paraId="7798C13F" w14:textId="77777777" w:rsidR="008B0F23" w:rsidRPr="00FC5B6A" w:rsidRDefault="00BB4F7D" w:rsidP="00962160">
      <w:pPr>
        <w:jc w:val="both"/>
        <w:rPr>
          <w:rFonts w:cstheme="minorHAnsi"/>
          <w:lang w:val="es-ES"/>
        </w:rPr>
      </w:pPr>
      <w:r w:rsidRPr="00FC5B6A">
        <w:rPr>
          <w:rFonts w:cstheme="minorHAnsi"/>
        </w:rPr>
        <w:t>Para este ejercicio</w:t>
      </w:r>
      <w:r w:rsidR="001569DC" w:rsidRPr="00FC5B6A">
        <w:rPr>
          <w:rFonts w:cstheme="minorHAnsi"/>
        </w:rPr>
        <w:t xml:space="preserve">, si bien la reserva forestal del Cocuy no se incluye dentro del Programa de Desarrollo </w:t>
      </w:r>
      <w:r w:rsidR="008B0F23" w:rsidRPr="00FC5B6A">
        <w:rPr>
          <w:rFonts w:cstheme="minorHAnsi"/>
        </w:rPr>
        <w:t xml:space="preserve">con Enfoque Territorial-PDET, </w:t>
      </w:r>
      <w:r w:rsidRPr="00FC5B6A">
        <w:rPr>
          <w:rFonts w:cstheme="minorHAnsi"/>
        </w:rPr>
        <w:t>se tom</w:t>
      </w:r>
      <w:r w:rsidR="008B0F23" w:rsidRPr="00FC5B6A">
        <w:rPr>
          <w:rFonts w:cstheme="minorHAnsi"/>
        </w:rPr>
        <w:t>ó</w:t>
      </w:r>
      <w:r w:rsidRPr="00FC5B6A">
        <w:rPr>
          <w:rFonts w:cstheme="minorHAnsi"/>
        </w:rPr>
        <w:t xml:space="preserve"> como base l</w:t>
      </w:r>
      <w:r w:rsidR="00015292" w:rsidRPr="00FC5B6A">
        <w:rPr>
          <w:rFonts w:cstheme="minorHAnsi"/>
        </w:rPr>
        <w:t>a metodología para la formulación de la zonificación ambiental a escala 1:100.000 del</w:t>
      </w:r>
      <w:r w:rsidR="0018292F" w:rsidRPr="00FC5B6A">
        <w:rPr>
          <w:rFonts w:cstheme="minorHAnsi"/>
        </w:rPr>
        <w:t xml:space="preserve"> PZA</w:t>
      </w:r>
      <w:r w:rsidR="003C7F67" w:rsidRPr="00FC5B6A">
        <w:rPr>
          <w:rFonts w:cstheme="minorHAnsi"/>
        </w:rPr>
        <w:t xml:space="preserve"> en los 170 municipios de PDET</w:t>
      </w:r>
      <w:r w:rsidR="00015292" w:rsidRPr="00FC5B6A">
        <w:rPr>
          <w:rFonts w:cstheme="minorHAnsi"/>
        </w:rPr>
        <w:t xml:space="preserve">, </w:t>
      </w:r>
      <w:r w:rsidR="001569DC" w:rsidRPr="00FC5B6A">
        <w:rPr>
          <w:rFonts w:cstheme="minorHAnsi"/>
        </w:rPr>
        <w:t xml:space="preserve"> que </w:t>
      </w:r>
      <w:r w:rsidR="00B23ED0" w:rsidRPr="00FC5B6A">
        <w:rPr>
          <w:rFonts w:cstheme="minorHAnsi"/>
        </w:rPr>
        <w:t>se empleó</w:t>
      </w:r>
      <w:r w:rsidR="00DC56A5" w:rsidRPr="00FC5B6A">
        <w:rPr>
          <w:rFonts w:cstheme="minorHAnsi"/>
        </w:rPr>
        <w:t xml:space="preserve"> en </w:t>
      </w:r>
      <w:r w:rsidR="003C7F67" w:rsidRPr="00FC5B6A">
        <w:rPr>
          <w:rFonts w:cstheme="minorHAnsi"/>
        </w:rPr>
        <w:t>385</w:t>
      </w:r>
      <w:r w:rsidR="00DC56A5" w:rsidRPr="00FC5B6A">
        <w:rPr>
          <w:rFonts w:cstheme="minorHAnsi"/>
        </w:rPr>
        <w:t xml:space="preserve"> municipios adicionales</w:t>
      </w:r>
      <w:r w:rsidR="00CF21E2" w:rsidRPr="00FC5B6A">
        <w:rPr>
          <w:rFonts w:cstheme="minorHAnsi"/>
        </w:rPr>
        <w:t>,</w:t>
      </w:r>
      <w:r w:rsidR="00E942CD" w:rsidRPr="00FC5B6A">
        <w:rPr>
          <w:rFonts w:cstheme="minorHAnsi"/>
        </w:rPr>
        <w:t xml:space="preserve"> abarcando </w:t>
      </w:r>
      <w:r w:rsidR="00DB5D6F" w:rsidRPr="00FC5B6A">
        <w:rPr>
          <w:rFonts w:cstheme="minorHAnsi"/>
        </w:rPr>
        <w:t>aproximadamente 9</w:t>
      </w:r>
      <w:r w:rsidR="008B0F23" w:rsidRPr="00FC5B6A">
        <w:rPr>
          <w:rFonts w:cstheme="minorHAnsi"/>
        </w:rPr>
        <w:t>,</w:t>
      </w:r>
      <w:r w:rsidR="00DB5D6F" w:rsidRPr="00FC5B6A">
        <w:rPr>
          <w:rFonts w:cstheme="minorHAnsi"/>
        </w:rPr>
        <w:t xml:space="preserve">5 millones de hectáreas </w:t>
      </w:r>
      <w:r w:rsidR="00E942CD" w:rsidRPr="00FC5B6A">
        <w:rPr>
          <w:rFonts w:cstheme="minorHAnsi"/>
        </w:rPr>
        <w:t>de las</w:t>
      </w:r>
      <w:r w:rsidR="00CF21E2" w:rsidRPr="00FC5B6A">
        <w:rPr>
          <w:rFonts w:cstheme="minorHAnsi"/>
        </w:rPr>
        <w:t xml:space="preserve"> </w:t>
      </w:r>
      <w:r w:rsidR="003C7F67" w:rsidRPr="00FC5B6A">
        <w:rPr>
          <w:rFonts w:cstheme="minorHAnsi"/>
        </w:rPr>
        <w:t>Á</w:t>
      </w:r>
      <w:r w:rsidR="00CF21E2" w:rsidRPr="00FC5B6A">
        <w:rPr>
          <w:rFonts w:cstheme="minorHAnsi"/>
        </w:rPr>
        <w:t xml:space="preserve">reas de </w:t>
      </w:r>
      <w:r w:rsidR="00640845" w:rsidRPr="00FC5B6A">
        <w:rPr>
          <w:rFonts w:cstheme="minorHAnsi"/>
        </w:rPr>
        <w:t>r</w:t>
      </w:r>
      <w:r w:rsidR="00CF21E2" w:rsidRPr="00FC5B6A">
        <w:rPr>
          <w:rFonts w:cstheme="minorHAnsi"/>
        </w:rPr>
        <w:t xml:space="preserve">eserva forestal </w:t>
      </w:r>
      <w:r w:rsidR="003C7F67" w:rsidRPr="00FC5B6A">
        <w:rPr>
          <w:rFonts w:cstheme="minorHAnsi"/>
        </w:rPr>
        <w:t xml:space="preserve">establecidas </w:t>
      </w:r>
      <w:r w:rsidR="00640845" w:rsidRPr="00FC5B6A">
        <w:rPr>
          <w:rFonts w:cstheme="minorHAnsi"/>
        </w:rPr>
        <w:t xml:space="preserve">por </w:t>
      </w:r>
      <w:r w:rsidR="003C7F67" w:rsidRPr="00FC5B6A">
        <w:rPr>
          <w:rFonts w:cstheme="minorHAnsi"/>
        </w:rPr>
        <w:t>la</w:t>
      </w:r>
      <w:r w:rsidR="00CF21E2" w:rsidRPr="00FC5B6A">
        <w:rPr>
          <w:rFonts w:cstheme="minorHAnsi"/>
        </w:rPr>
        <w:t xml:space="preserve"> Ley 2</w:t>
      </w:r>
      <w:r w:rsidR="00BE1483" w:rsidRPr="00FC5B6A">
        <w:rPr>
          <w:rFonts w:cstheme="minorHAnsi"/>
        </w:rPr>
        <w:t>ª.</w:t>
      </w:r>
      <w:r w:rsidR="00CF21E2" w:rsidRPr="00FC5B6A">
        <w:rPr>
          <w:rFonts w:cstheme="minorHAnsi"/>
        </w:rPr>
        <w:t xml:space="preserve"> de </w:t>
      </w:r>
      <w:r w:rsidR="00E942CD" w:rsidRPr="00FC5B6A">
        <w:rPr>
          <w:rFonts w:cstheme="minorHAnsi"/>
        </w:rPr>
        <w:t>1959</w:t>
      </w:r>
      <w:r w:rsidR="00640845" w:rsidRPr="00FC5B6A">
        <w:rPr>
          <w:rFonts w:cstheme="minorHAnsi"/>
        </w:rPr>
        <w:t xml:space="preserve"> </w:t>
      </w:r>
      <w:r w:rsidR="00640845" w:rsidRPr="00FC5B6A">
        <w:rPr>
          <w:rFonts w:cstheme="minorHAnsi"/>
          <w:lang w:val="es-ES"/>
        </w:rPr>
        <w:t>a excepción de áreas con decisión de ordenamiento y territorios colectivos debidamente constituidos.</w:t>
      </w:r>
    </w:p>
    <w:p w14:paraId="1F585B64" w14:textId="77777777" w:rsidR="008B0F23" w:rsidRPr="00FC5B6A" w:rsidRDefault="008B0F23" w:rsidP="005C0AEC">
      <w:pPr>
        <w:jc w:val="both"/>
        <w:rPr>
          <w:rFonts w:cstheme="minorHAnsi"/>
        </w:rPr>
      </w:pPr>
      <w:r w:rsidRPr="00FC5B6A">
        <w:rPr>
          <w:rFonts w:cstheme="minorHAnsi"/>
          <w:lang w:val="es-ES"/>
        </w:rPr>
        <w:t xml:space="preserve">Por lo cual, en el presente documento se presenta el resultado de la aplicación de dicho proceso para la reserva forestal del Cocuy, y su clasificación en cuatro (4) </w:t>
      </w:r>
      <w:r w:rsidR="00640845" w:rsidRPr="00FC5B6A">
        <w:rPr>
          <w:rFonts w:cstheme="minorHAnsi"/>
        </w:rPr>
        <w:t>á</w:t>
      </w:r>
      <w:r w:rsidR="0018292F" w:rsidRPr="00FC5B6A">
        <w:rPr>
          <w:rFonts w:cstheme="minorHAnsi"/>
        </w:rPr>
        <w:t xml:space="preserve">reas de manejo ambiental especial, </w:t>
      </w:r>
      <w:r w:rsidR="00930312" w:rsidRPr="00FC5B6A">
        <w:rPr>
          <w:rFonts w:cstheme="minorHAnsi"/>
        </w:rPr>
        <w:t xml:space="preserve">y referidas </w:t>
      </w:r>
      <w:r w:rsidR="00E032B0" w:rsidRPr="00FC5B6A">
        <w:rPr>
          <w:rFonts w:cstheme="minorHAnsi"/>
        </w:rPr>
        <w:t>a</w:t>
      </w:r>
      <w:r w:rsidR="0018292F" w:rsidRPr="00FC5B6A">
        <w:rPr>
          <w:rFonts w:cstheme="minorHAnsi"/>
        </w:rPr>
        <w:t xml:space="preserve">: </w:t>
      </w:r>
      <w:r w:rsidRPr="00FC5B6A">
        <w:rPr>
          <w:rFonts w:cstheme="minorHAnsi"/>
        </w:rPr>
        <w:t>(i) Áreas para manejo ambiental con una alta oferta de servicios ecosistémicos, (</w:t>
      </w:r>
      <w:proofErr w:type="spellStart"/>
      <w:r w:rsidRPr="00FC5B6A">
        <w:rPr>
          <w:rFonts w:cstheme="minorHAnsi"/>
        </w:rPr>
        <w:t>ii</w:t>
      </w:r>
      <w:proofErr w:type="spellEnd"/>
      <w:r w:rsidRPr="00FC5B6A">
        <w:rPr>
          <w:rFonts w:cstheme="minorHAnsi"/>
        </w:rPr>
        <w:t>) Áreas para el  manejo ambiental de restauración, (</w:t>
      </w:r>
      <w:proofErr w:type="spellStart"/>
      <w:r w:rsidRPr="00FC5B6A">
        <w:rPr>
          <w:rFonts w:cstheme="minorHAnsi"/>
        </w:rPr>
        <w:t>iii</w:t>
      </w:r>
      <w:proofErr w:type="spellEnd"/>
      <w:r w:rsidRPr="00FC5B6A">
        <w:rPr>
          <w:rFonts w:cstheme="minorHAnsi"/>
        </w:rPr>
        <w:t>) Áreas para el manejo ambiental de uso sostenible y para el aprovechamiento de la biodiversidad, y (</w:t>
      </w:r>
      <w:proofErr w:type="spellStart"/>
      <w:r w:rsidRPr="00FC5B6A">
        <w:rPr>
          <w:rFonts w:cstheme="minorHAnsi"/>
        </w:rPr>
        <w:t>iv</w:t>
      </w:r>
      <w:proofErr w:type="spellEnd"/>
      <w:r w:rsidRPr="00FC5B6A">
        <w:rPr>
          <w:rFonts w:cstheme="minorHAnsi"/>
        </w:rPr>
        <w:t>) Áreas de manejo ambiental sostenible y para el desarrollo.</w:t>
      </w:r>
    </w:p>
    <w:p w14:paraId="114BF685" w14:textId="0CE8C502" w:rsidR="00584E07" w:rsidRPr="00FC5B6A" w:rsidRDefault="0018292F" w:rsidP="005C0AEC">
      <w:pPr>
        <w:jc w:val="both"/>
      </w:pPr>
      <w:r w:rsidRPr="00FC5B6A">
        <w:t>En este sentido,</w:t>
      </w:r>
      <w:r w:rsidR="006421CE" w:rsidRPr="00FC5B6A">
        <w:t xml:space="preserve"> el </w:t>
      </w:r>
      <w:r w:rsidR="00013524" w:rsidRPr="00FC5B6A">
        <w:t>Min</w:t>
      </w:r>
      <w:r w:rsidR="00930312" w:rsidRPr="00FC5B6A">
        <w:t>isterio</w:t>
      </w:r>
      <w:r w:rsidR="006421CE" w:rsidRPr="00FC5B6A">
        <w:t xml:space="preserve"> soportado en el </w:t>
      </w:r>
      <w:r w:rsidR="006421CE" w:rsidRPr="00FC5B6A">
        <w:rPr>
          <w:rFonts w:cstheme="minorHAnsi"/>
        </w:rPr>
        <w:t>parágrafo 3 del artículo 204 de la Ley 1450 de 2011</w:t>
      </w:r>
      <w:r w:rsidRPr="00FC5B6A">
        <w:t xml:space="preserve"> </w:t>
      </w:r>
      <w:r w:rsidR="006421CE" w:rsidRPr="00FC5B6A">
        <w:t>y considerando</w:t>
      </w:r>
      <w:r w:rsidRPr="00FC5B6A">
        <w:t xml:space="preserve"> que </w:t>
      </w:r>
      <w:r w:rsidR="001129B1" w:rsidRPr="00FC5B6A">
        <w:t>la zonificación ambiental a escala 1:100.000 formulada mediante la metodología que se utilizó en el P</w:t>
      </w:r>
      <w:r w:rsidR="00B21277" w:rsidRPr="00FC5B6A">
        <w:t xml:space="preserve">lan de </w:t>
      </w:r>
      <w:r w:rsidR="00146429" w:rsidRPr="00FC5B6A">
        <w:t>Z</w:t>
      </w:r>
      <w:r w:rsidR="00B21277" w:rsidRPr="00FC5B6A">
        <w:t xml:space="preserve">onificación </w:t>
      </w:r>
      <w:r w:rsidR="00146429" w:rsidRPr="00FC5B6A">
        <w:t>A</w:t>
      </w:r>
      <w:r w:rsidR="00B21277" w:rsidRPr="00FC5B6A">
        <w:t>mbiental-PZA</w:t>
      </w:r>
      <w:r w:rsidR="00466FD3" w:rsidRPr="00FC5B6A">
        <w:t xml:space="preserve"> objeto del punto 1.1.10 del A</w:t>
      </w:r>
      <w:r w:rsidR="00B21277" w:rsidRPr="00FC5B6A">
        <w:t xml:space="preserve">cuerdo </w:t>
      </w:r>
      <w:r w:rsidR="00466FD3" w:rsidRPr="00FC5B6A">
        <w:t>F</w:t>
      </w:r>
      <w:r w:rsidR="00B21277" w:rsidRPr="00FC5B6A">
        <w:t xml:space="preserve">inal de </w:t>
      </w:r>
      <w:r w:rsidR="00466FD3" w:rsidRPr="00FC5B6A">
        <w:t>P</w:t>
      </w:r>
      <w:r w:rsidR="00B21277" w:rsidRPr="00FC5B6A">
        <w:t>az-AFP</w:t>
      </w:r>
      <w:r w:rsidRPr="00FC5B6A">
        <w:t xml:space="preserve">, </w:t>
      </w:r>
      <w:r w:rsidR="00930312" w:rsidRPr="00FC5B6A">
        <w:t xml:space="preserve">es un insumo de carácter </w:t>
      </w:r>
      <w:r w:rsidR="00930312" w:rsidRPr="00FC5B6A">
        <w:rPr>
          <w:rFonts w:cstheme="minorHAnsi"/>
        </w:rPr>
        <w:t>técnico, económico, social y ambiental</w:t>
      </w:r>
      <w:r w:rsidR="00145D93" w:rsidRPr="00FC5B6A">
        <w:rPr>
          <w:rFonts w:cstheme="minorHAnsi"/>
        </w:rPr>
        <w:t>;</w:t>
      </w:r>
      <w:r w:rsidR="00671DA9" w:rsidRPr="00FC5B6A">
        <w:rPr>
          <w:rFonts w:cstheme="minorHAnsi"/>
        </w:rPr>
        <w:t xml:space="preserve"> actualiz</w:t>
      </w:r>
      <w:r w:rsidR="00145D93" w:rsidRPr="00FC5B6A">
        <w:rPr>
          <w:rFonts w:cstheme="minorHAnsi"/>
        </w:rPr>
        <w:t>a</w:t>
      </w:r>
      <w:r w:rsidR="008221D9" w:rsidRPr="00FC5B6A">
        <w:t xml:space="preserve"> </w:t>
      </w:r>
      <w:r w:rsidRPr="00FC5B6A">
        <w:t xml:space="preserve">la zonificación A, B y C de las </w:t>
      </w:r>
      <w:r w:rsidR="00233A8E" w:rsidRPr="00FC5B6A">
        <w:t>Área</w:t>
      </w:r>
      <w:r w:rsidRPr="00FC5B6A">
        <w:t xml:space="preserve">s de </w:t>
      </w:r>
      <w:r w:rsidR="005D613B" w:rsidRPr="00FC5B6A">
        <w:t>r</w:t>
      </w:r>
      <w:r w:rsidRPr="00FC5B6A">
        <w:t xml:space="preserve">eserva </w:t>
      </w:r>
      <w:r w:rsidR="005D613B" w:rsidRPr="00FC5B6A">
        <w:t>f</w:t>
      </w:r>
      <w:r w:rsidRPr="00FC5B6A">
        <w:t xml:space="preserve">orestal establecidas </w:t>
      </w:r>
      <w:r w:rsidR="00640845" w:rsidRPr="00FC5B6A">
        <w:t>por</w:t>
      </w:r>
      <w:r w:rsidRPr="00FC5B6A">
        <w:t xml:space="preserve"> la Ley 2</w:t>
      </w:r>
      <w:r w:rsidR="00BE1483" w:rsidRPr="00FC5B6A">
        <w:t>ª.</w:t>
      </w:r>
      <w:r w:rsidRPr="00FC5B6A">
        <w:t xml:space="preserve"> de 1959</w:t>
      </w:r>
      <w:r w:rsidR="00233A8E" w:rsidRPr="00FC5B6A">
        <w:t xml:space="preserve"> </w:t>
      </w:r>
      <w:r w:rsidR="00640845" w:rsidRPr="00FC5B6A">
        <w:rPr>
          <w:lang w:val="es-ES"/>
        </w:rPr>
        <w:t>a excepción de áreas con decisión de ordenamiento y territorios colectivos debidamente constituidos</w:t>
      </w:r>
      <w:r w:rsidR="00640845" w:rsidRPr="00FC5B6A">
        <w:t xml:space="preserve"> </w:t>
      </w:r>
      <w:r w:rsidR="008221D9" w:rsidRPr="00FC5B6A">
        <w:t>y</w:t>
      </w:r>
      <w:r w:rsidR="0003132F" w:rsidRPr="00FC5B6A">
        <w:t xml:space="preserve">, </w:t>
      </w:r>
      <w:r w:rsidR="006D5D26" w:rsidRPr="00FC5B6A">
        <w:t>define</w:t>
      </w:r>
      <w:r w:rsidR="008221D9" w:rsidRPr="00FC5B6A">
        <w:t xml:space="preserve"> </w:t>
      </w:r>
      <w:r w:rsidR="0045734B" w:rsidRPr="00FC5B6A">
        <w:t>además</w:t>
      </w:r>
      <w:r w:rsidRPr="00FC5B6A">
        <w:t xml:space="preserve"> el régimen de usos</w:t>
      </w:r>
      <w:r w:rsidR="00B10C01" w:rsidRPr="00FC5B6A">
        <w:t xml:space="preserve"> y los lineamientos generales para e</w:t>
      </w:r>
      <w:r w:rsidR="005C0AEC" w:rsidRPr="00FC5B6A">
        <w:t>sta</w:t>
      </w:r>
      <w:r w:rsidR="0003132F" w:rsidRPr="00FC5B6A">
        <w:t>s</w:t>
      </w:r>
      <w:r w:rsidR="00B10C01" w:rsidRPr="00FC5B6A">
        <w:t xml:space="preserve"> área</w:t>
      </w:r>
      <w:r w:rsidR="0003132F" w:rsidRPr="00FC5B6A">
        <w:t>s</w:t>
      </w:r>
      <w:r w:rsidR="00B10C01" w:rsidRPr="00FC5B6A">
        <w:t>.</w:t>
      </w:r>
      <w:bookmarkStart w:id="4" w:name="_Toc108464063"/>
      <w:bookmarkStart w:id="5" w:name="_Toc108542060"/>
      <w:bookmarkStart w:id="6" w:name="_Toc144408981"/>
    </w:p>
    <w:p w14:paraId="5754BDAC" w14:textId="3174E3BB" w:rsidR="00FE3238" w:rsidRPr="00FC5B6A" w:rsidRDefault="00FE3238" w:rsidP="00FE3238">
      <w:r w:rsidRPr="00FC5B6A">
        <w:br w:type="page"/>
      </w:r>
    </w:p>
    <w:p w14:paraId="4F18A679" w14:textId="11FC184C" w:rsidR="213635BB" w:rsidRPr="00FC5B6A" w:rsidRDefault="213635BB" w:rsidP="660E8D87">
      <w:pPr>
        <w:pStyle w:val="Ttulo1"/>
        <w:rPr>
          <w:rFonts w:asciiTheme="minorHAnsi" w:hAnsiTheme="minorHAnsi" w:cstheme="minorBidi"/>
        </w:rPr>
      </w:pPr>
      <w:bookmarkStart w:id="7" w:name="_Toc186104573"/>
      <w:bookmarkStart w:id="8" w:name="_Toc224921349"/>
      <w:r w:rsidRPr="00FC5B6A">
        <w:rPr>
          <w:rFonts w:asciiTheme="minorHAnsi" w:hAnsiTheme="minorHAnsi" w:cstheme="minorBidi"/>
        </w:rPr>
        <w:lastRenderedPageBreak/>
        <w:t>Definiciones</w:t>
      </w:r>
      <w:bookmarkEnd w:id="7"/>
      <w:bookmarkEnd w:id="8"/>
    </w:p>
    <w:p w14:paraId="66B2351F" w14:textId="6595BF2C" w:rsidR="660E8D87" w:rsidRPr="00FC5B6A" w:rsidRDefault="660E8D87" w:rsidP="660E8D87"/>
    <w:p w14:paraId="2D287A87" w14:textId="4AE1B6C7" w:rsidR="08C22EB9" w:rsidRPr="00FC5B6A" w:rsidRDefault="08C22EB9" w:rsidP="30211074">
      <w:pPr>
        <w:spacing w:line="257" w:lineRule="auto"/>
        <w:jc w:val="both"/>
      </w:pPr>
      <w:r w:rsidRPr="00E74796">
        <w:rPr>
          <w:rFonts w:ascii="Calibri" w:eastAsia="Calibri" w:hAnsi="Calibri" w:cs="Calibri"/>
          <w:b/>
          <w:bCs/>
          <w:i/>
          <w:iCs/>
        </w:rPr>
        <w:t>Agricultura Campesina, Familiar</w:t>
      </w:r>
      <w:r w:rsidR="00A67924" w:rsidRPr="00E74796">
        <w:rPr>
          <w:rFonts w:ascii="Calibri" w:eastAsia="Calibri" w:hAnsi="Calibri" w:cs="Calibri"/>
          <w:b/>
          <w:bCs/>
          <w:i/>
          <w:iCs/>
        </w:rPr>
        <w:t xml:space="preserve"> Étnica</w:t>
      </w:r>
      <w:r w:rsidRPr="00863BF6">
        <w:rPr>
          <w:rFonts w:ascii="Calibri" w:eastAsia="Calibri" w:hAnsi="Calibri" w:cs="Calibri"/>
          <w:b/>
          <w:bCs/>
          <w:i/>
          <w:iCs/>
        </w:rPr>
        <w:t xml:space="preserve"> y Comunitaria: </w:t>
      </w:r>
      <w:r w:rsidR="00971D03" w:rsidRPr="00E74796">
        <w:rPr>
          <w:rFonts w:ascii="Calibri" w:eastAsia="Calibri" w:hAnsi="Calibri" w:cs="Calibri"/>
        </w:rPr>
        <w:t>La Agricultura Campesina, Familiar y Comunitaria será entendida como aquella que garantiza la generación de ingresos, el derecho humano a la alimentación y el desarrollo principalmente de actividades de producción, transformación y comercialización de bienes y servicios agrícolas, pecuarios, pesqueros, acuícolas y silvícolas, en los ámbitos local y regional. Esta diversificación de actividades y medios de vida se realiza predominantemente a través de la gestión y el trabajo familiar, asociativo o comunitario. El territorio y los actores que gestionan este sistema están estrechamente vinculados con un enfoque integral que articula las dimensiones económica, social, ambiental, política y cultural</w:t>
      </w:r>
      <w:r w:rsidRPr="00863BF6">
        <w:rPr>
          <w:rFonts w:ascii="Calibri" w:eastAsia="Calibri" w:hAnsi="Calibri" w:cs="Calibri"/>
        </w:rPr>
        <w:t>.</w:t>
      </w:r>
    </w:p>
    <w:p w14:paraId="7395CB0B" w14:textId="50273E5A" w:rsidR="08C22EB9" w:rsidRPr="00FC5B6A" w:rsidRDefault="08C22EB9" w:rsidP="30211074">
      <w:pPr>
        <w:spacing w:line="257" w:lineRule="auto"/>
        <w:jc w:val="both"/>
      </w:pPr>
      <w:r w:rsidRPr="00FC5B6A">
        <w:rPr>
          <w:rFonts w:ascii="Calibri" w:eastAsia="Calibri" w:hAnsi="Calibri" w:cs="Calibri"/>
          <w:b/>
          <w:bCs/>
          <w:i/>
          <w:iCs/>
        </w:rPr>
        <w:t xml:space="preserve">Bosque Natural: </w:t>
      </w:r>
      <w:r w:rsidRPr="00FC5B6A">
        <w:rPr>
          <w:rFonts w:ascii="Calibri" w:eastAsia="Calibri" w:hAnsi="Calibri" w:cs="Calibri"/>
        </w:rPr>
        <w:t>La tierra ocupada principalmente por árboles que puede contener arbustos, palmas, guaduas, hierbas y lianas, en la que predomina la cobertura arbórea con una densidad mínima de dosel del 30%, una altura mínima de dosel in situ de 5 metros al momento de su identificación y un área mínima de una hectárea</w:t>
      </w:r>
      <w:r w:rsidRPr="00FC5B6A">
        <w:rPr>
          <w:rFonts w:ascii="Calibri" w:eastAsia="Calibri" w:hAnsi="Calibri" w:cs="Calibri"/>
          <w:b/>
          <w:bCs/>
          <w:i/>
          <w:iCs/>
        </w:rPr>
        <w:t>.</w:t>
      </w:r>
      <w:r w:rsidRPr="00FC5B6A">
        <w:rPr>
          <w:rFonts w:ascii="Calibri" w:eastAsia="Calibri" w:hAnsi="Calibri" w:cs="Calibri"/>
          <w:i/>
          <w:iCs/>
        </w:rPr>
        <w:t xml:space="preserve"> </w:t>
      </w:r>
      <w:r w:rsidRPr="00FC5B6A">
        <w:rPr>
          <w:rFonts w:ascii="Calibri" w:eastAsia="Calibri" w:hAnsi="Calibri" w:cs="Calibri"/>
        </w:rPr>
        <w:t>(IDEAM).</w:t>
      </w:r>
    </w:p>
    <w:p w14:paraId="781444FB" w14:textId="5754620E" w:rsidR="08C22EB9" w:rsidRPr="00FC5B6A" w:rsidRDefault="08C22EB9" w:rsidP="30211074">
      <w:pPr>
        <w:spacing w:line="257" w:lineRule="auto"/>
        <w:jc w:val="both"/>
      </w:pPr>
      <w:r w:rsidRPr="00FC5B6A">
        <w:rPr>
          <w:rFonts w:ascii="Calibri" w:eastAsia="Calibri" w:hAnsi="Calibri" w:cs="Calibri"/>
          <w:b/>
          <w:bCs/>
          <w:i/>
          <w:iCs/>
        </w:rPr>
        <w:t>Cercas vivas</w:t>
      </w:r>
      <w:r w:rsidRPr="00FC5B6A">
        <w:rPr>
          <w:rFonts w:ascii="Calibri" w:eastAsia="Calibri" w:hAnsi="Calibri" w:cs="Calibri"/>
          <w:i/>
          <w:iCs/>
        </w:rPr>
        <w:t xml:space="preserve">: </w:t>
      </w:r>
      <w:r w:rsidRPr="00FC5B6A">
        <w:rPr>
          <w:rFonts w:ascii="Calibri" w:eastAsia="Calibri" w:hAnsi="Calibri" w:cs="Calibri"/>
        </w:rPr>
        <w:t xml:space="preserve">franjas de vegetación con pocos metros de ancho y longitud variable, </w:t>
      </w:r>
      <w:proofErr w:type="spellStart"/>
      <w:r w:rsidRPr="00FC5B6A">
        <w:rPr>
          <w:rFonts w:ascii="Calibri" w:eastAsia="Calibri" w:hAnsi="Calibri" w:cs="Calibri"/>
        </w:rPr>
        <w:t>multiestrato</w:t>
      </w:r>
      <w:proofErr w:type="spellEnd"/>
      <w:r w:rsidRPr="00FC5B6A">
        <w:rPr>
          <w:rFonts w:ascii="Calibri" w:eastAsia="Calibri" w:hAnsi="Calibri" w:cs="Calibri"/>
        </w:rPr>
        <w:t>, de composición mixta entre especies forestales que aumenten la diversidad del paisaje. (Extraído de PNGIBSE).</w:t>
      </w:r>
    </w:p>
    <w:p w14:paraId="7DBD16AB" w14:textId="5248001A" w:rsidR="08C22EB9" w:rsidRPr="00FC5B6A" w:rsidRDefault="08C22EB9" w:rsidP="30211074">
      <w:pPr>
        <w:spacing w:line="257" w:lineRule="auto"/>
        <w:jc w:val="both"/>
      </w:pPr>
      <w:r w:rsidRPr="00FC5B6A">
        <w:rPr>
          <w:rFonts w:ascii="Calibri" w:eastAsia="Calibri" w:hAnsi="Calibri" w:cs="Calibri"/>
          <w:b/>
          <w:bCs/>
          <w:i/>
          <w:iCs/>
        </w:rPr>
        <w:t xml:space="preserve">Conservación de la biodiversidad: </w:t>
      </w:r>
      <w:r w:rsidRPr="00FC5B6A">
        <w:rPr>
          <w:rFonts w:ascii="Calibri" w:eastAsia="Calibri" w:hAnsi="Calibri" w:cs="Calibri"/>
        </w:rPr>
        <w:t>Factor o propiedad emergente, que resulta de adelantar acciones de preservación, uso sostenible, generación de conocimiento y restauración. Es el principal objetivo de la de la gestión integral de la biodiversidad y sus servicios ecosistémicos. (Extraído de PNGIBSE)</w:t>
      </w:r>
    </w:p>
    <w:p w14:paraId="0298F5EC" w14:textId="5960C81B" w:rsidR="08C22EB9" w:rsidRPr="00FC5B6A" w:rsidRDefault="08C22EB9" w:rsidP="30211074">
      <w:pPr>
        <w:spacing w:line="257" w:lineRule="auto"/>
        <w:jc w:val="both"/>
      </w:pPr>
      <w:r w:rsidRPr="00FC5B6A">
        <w:rPr>
          <w:rFonts w:ascii="Calibri" w:eastAsia="Calibri" w:hAnsi="Calibri" w:cs="Calibri"/>
          <w:b/>
          <w:bCs/>
          <w:i/>
          <w:iCs/>
        </w:rPr>
        <w:t xml:space="preserve">Conservación in situ: </w:t>
      </w:r>
      <w:r w:rsidRPr="00FC5B6A">
        <w:rPr>
          <w:rFonts w:ascii="Calibri" w:eastAsia="Calibri" w:hAnsi="Calibri" w:cs="Calibri"/>
          <w:i/>
          <w:iCs/>
        </w:rPr>
        <w:t xml:space="preserve">Conservación “sobre el terreno” de los recursos genéticos de especies elegidas, dentro del ecosistema natural u original en la que aparecen, o en el lugar anteriormente ocupado por dicho ecosistema. A pesar de que el concepto se aplica con más frecuencia a poblaciones regeneradas naturalmente, por conservación in situ puede entenderse también la regeneración artificial, siempre que la plantación o la siembra se hagan sin una selección deliberada y en la misma área donde se recogieron las semillas u otros materiales de reproducción. (FAO 1995). </w:t>
      </w:r>
      <w:r w:rsidRPr="00FC5B6A">
        <w:rPr>
          <w:rFonts w:ascii="Calibri" w:eastAsia="Calibri" w:hAnsi="Calibri" w:cs="Calibri"/>
        </w:rPr>
        <w:t>(Extraído de PNGIBSE)</w:t>
      </w:r>
    </w:p>
    <w:p w14:paraId="73F09BF6" w14:textId="774040F0" w:rsidR="08C22EB9" w:rsidRPr="00FC5B6A" w:rsidRDefault="0983F672" w:rsidP="30211074">
      <w:pPr>
        <w:spacing w:line="257" w:lineRule="auto"/>
        <w:jc w:val="both"/>
        <w:rPr>
          <w:rFonts w:ascii="Calibri" w:eastAsia="Calibri" w:hAnsi="Calibri" w:cs="Calibri"/>
        </w:rPr>
      </w:pPr>
      <w:r w:rsidRPr="00FC5B6A">
        <w:rPr>
          <w:rFonts w:ascii="Calibri" w:eastAsia="Calibri" w:hAnsi="Calibri" w:cs="Calibri"/>
          <w:b/>
          <w:bCs/>
          <w:i/>
          <w:iCs/>
        </w:rPr>
        <w:t xml:space="preserve">Especie nativa: </w:t>
      </w:r>
      <w:r w:rsidRPr="00FC5B6A">
        <w:rPr>
          <w:rFonts w:ascii="Calibri" w:eastAsia="Calibri" w:hAnsi="Calibri" w:cs="Calibri"/>
          <w:i/>
          <w:iCs/>
        </w:rPr>
        <w:t>S</w:t>
      </w:r>
      <w:r w:rsidRPr="00FC5B6A">
        <w:rPr>
          <w:rFonts w:ascii="Calibri" w:eastAsia="Calibri" w:hAnsi="Calibri" w:cs="Calibri"/>
        </w:rPr>
        <w:t xml:space="preserve">e entiende por especie nativa la especie o subespecie taxonómica o variedad de animales cuya área de disposición geográfica se extiende al territorio nacional o a aguas jurisdiccionales colombianas o forma parte de </w:t>
      </w:r>
      <w:proofErr w:type="gramStart"/>
      <w:r w:rsidRPr="00FC5B6A">
        <w:rPr>
          <w:rFonts w:ascii="Calibri" w:eastAsia="Calibri" w:hAnsi="Calibri" w:cs="Calibri"/>
        </w:rPr>
        <w:t>los mismos</w:t>
      </w:r>
      <w:proofErr w:type="gramEnd"/>
      <w:r w:rsidRPr="00FC5B6A">
        <w:rPr>
          <w:rFonts w:ascii="Calibri" w:eastAsia="Calibri" w:hAnsi="Calibri" w:cs="Calibri"/>
        </w:rPr>
        <w:t>, comprendidas las especies o subespecies que migran. (Extraído del artículo 2.2.1.2.12.2. Decreto 1076 de 2015)</w:t>
      </w:r>
    </w:p>
    <w:p w14:paraId="2E41219A" w14:textId="3C217936" w:rsidR="00317462" w:rsidRPr="00FC5B6A" w:rsidRDefault="00317462" w:rsidP="30211074">
      <w:pPr>
        <w:spacing w:line="257" w:lineRule="auto"/>
        <w:jc w:val="both"/>
      </w:pPr>
      <w:r w:rsidRPr="00FC5B6A">
        <w:rPr>
          <w:rFonts w:ascii="Calibri" w:eastAsia="Calibri" w:hAnsi="Calibri" w:cs="Calibri"/>
          <w:b/>
          <w:bCs/>
          <w:i/>
          <w:iCs/>
        </w:rPr>
        <w:t>Franja de Transición Bosque – Páramo</w:t>
      </w:r>
      <w:r w:rsidR="00031770" w:rsidRPr="00FC5B6A">
        <w:rPr>
          <w:rStyle w:val="Refdenotaalpie"/>
          <w:rFonts w:ascii="Calibri" w:eastAsia="Calibri" w:hAnsi="Calibri" w:cs="Calibri"/>
          <w:b/>
          <w:bCs/>
          <w:i/>
          <w:iCs/>
        </w:rPr>
        <w:footnoteReference w:id="1"/>
      </w:r>
      <w:r w:rsidRPr="00FC5B6A">
        <w:rPr>
          <w:rFonts w:ascii="Calibri" w:eastAsia="Calibri" w:hAnsi="Calibri" w:cs="Calibri"/>
          <w:b/>
          <w:bCs/>
          <w:i/>
          <w:iCs/>
        </w:rPr>
        <w:t>:</w:t>
      </w:r>
      <w:r w:rsidR="00031770" w:rsidRPr="00FC5B6A">
        <w:rPr>
          <w:rFonts w:ascii="Calibri" w:eastAsia="Calibri" w:hAnsi="Calibri" w:cs="Calibri"/>
        </w:rPr>
        <w:t xml:space="preserve"> límite entre los ecosistemas de páramo y el bosque altoandino se requiere identificar la zona de contacto entre estos ecosistemas, zona que ha sido denominada Zona de Transición Bosque-Páramo (ZTBP). En esta transición, coexisten arbustales del páramo bajo y vegetación de bosques que albergan una extraordinaria biodiversidad, y dependen de ella para mantener su funcionalidad.</w:t>
      </w:r>
    </w:p>
    <w:p w14:paraId="0657A111" w14:textId="14647C9D" w:rsidR="08C22EB9" w:rsidRPr="00FC5B6A" w:rsidRDefault="08C22EB9" w:rsidP="30211074">
      <w:pPr>
        <w:spacing w:line="257" w:lineRule="auto"/>
        <w:jc w:val="both"/>
        <w:rPr>
          <w:rFonts w:ascii="Calibri" w:eastAsia="Calibri" w:hAnsi="Calibri" w:cs="Calibri"/>
        </w:rPr>
      </w:pPr>
      <w:r w:rsidRPr="00FC5B6A">
        <w:rPr>
          <w:rFonts w:ascii="Calibri" w:eastAsia="Calibri" w:hAnsi="Calibri" w:cs="Calibri"/>
          <w:b/>
          <w:bCs/>
          <w:i/>
          <w:iCs/>
        </w:rPr>
        <w:lastRenderedPageBreak/>
        <w:t>Flora silvestre:</w:t>
      </w:r>
      <w:r w:rsidRPr="00FC5B6A">
        <w:rPr>
          <w:rFonts w:ascii="Calibri" w:eastAsia="Calibri" w:hAnsi="Calibri" w:cs="Calibri"/>
          <w:i/>
          <w:iCs/>
        </w:rPr>
        <w:t xml:space="preserve"> </w:t>
      </w:r>
      <w:r w:rsidRPr="00FC5B6A">
        <w:rPr>
          <w:rFonts w:ascii="Calibri" w:eastAsia="Calibri" w:hAnsi="Calibri" w:cs="Calibri"/>
        </w:rPr>
        <w:t>Conjunto de especies e individuos vegetales del territorio nacional que no se han plantado o mejorado por el hombre, presentes en ecosistemas naturales diferentes al bosque natural. Incluye la flora acuática. (Extraído del Artículo 2.2.1.1.1.1, Decreto 1076 de 2015)</w:t>
      </w:r>
    </w:p>
    <w:p w14:paraId="746E76DD" w14:textId="77777777" w:rsidR="003A616D" w:rsidRPr="00455F2D" w:rsidRDefault="003A616D" w:rsidP="003A616D">
      <w:pPr>
        <w:spacing w:line="257" w:lineRule="auto"/>
        <w:jc w:val="both"/>
        <w:rPr>
          <w:rFonts w:ascii="Calibri" w:eastAsia="Calibri" w:hAnsi="Calibri" w:cs="Calibri"/>
          <w:b/>
          <w:bCs/>
          <w:i/>
          <w:iCs/>
        </w:rPr>
      </w:pPr>
      <w:r w:rsidRPr="00455F2D">
        <w:rPr>
          <w:rFonts w:ascii="Calibri" w:eastAsia="Calibri" w:hAnsi="Calibri" w:cs="Calibri"/>
          <w:b/>
          <w:bCs/>
          <w:i/>
          <w:iCs/>
        </w:rPr>
        <w:t xml:space="preserve">Grupo de interés: </w:t>
      </w:r>
      <w:r w:rsidRPr="00E74796">
        <w:rPr>
          <w:rFonts w:ascii="Calibri" w:eastAsia="Calibri" w:hAnsi="Calibri" w:cs="Calibri"/>
        </w:rPr>
        <w:t>Aquellas partes (personas u organizaciones) interesadas, afectadas, que interactúan o se benefician con el desarrollo de proceso de ordenamiento participativo ambiental del área de reserva forestal del Cocuy.</w:t>
      </w:r>
    </w:p>
    <w:p w14:paraId="6E0D4FB9" w14:textId="7849EDCF" w:rsidR="00317462" w:rsidRPr="00FC5B6A" w:rsidRDefault="0983F672" w:rsidP="30211074">
      <w:pPr>
        <w:spacing w:line="257" w:lineRule="auto"/>
        <w:jc w:val="both"/>
      </w:pPr>
      <w:r w:rsidRPr="00FC5B6A">
        <w:rPr>
          <w:rFonts w:ascii="Calibri" w:eastAsia="Calibri" w:hAnsi="Calibri" w:cs="Calibri"/>
          <w:b/>
          <w:bCs/>
          <w:i/>
          <w:iCs/>
        </w:rPr>
        <w:t>Habitante tradicional de páramo</w:t>
      </w:r>
      <w:r w:rsidRPr="00FC5B6A">
        <w:rPr>
          <w:rFonts w:ascii="Calibri" w:eastAsia="Calibri" w:hAnsi="Calibri" w:cs="Calibri"/>
        </w:rPr>
        <w:t>: Es toda persona natural habitante tradicional de páramo, que haya nacido y/o habite el páramo y que, dado su arraigo y permanencia en este ecosistema (Extraído del Articulo 16 de la Ley 1930 de 2018)</w:t>
      </w:r>
    </w:p>
    <w:p w14:paraId="266A4997" w14:textId="17A7E0FA" w:rsidR="08C22EB9" w:rsidRPr="00FC5B6A" w:rsidRDefault="08C22EB9" w:rsidP="30211074">
      <w:pPr>
        <w:spacing w:line="257" w:lineRule="auto"/>
        <w:jc w:val="both"/>
      </w:pPr>
      <w:r w:rsidRPr="00FC5B6A">
        <w:rPr>
          <w:rFonts w:ascii="Calibri" w:eastAsia="Calibri" w:hAnsi="Calibri" w:cs="Calibri"/>
          <w:b/>
          <w:bCs/>
          <w:i/>
          <w:iCs/>
        </w:rPr>
        <w:t xml:space="preserve">Herramientas de manejo del paisaje: </w:t>
      </w:r>
      <w:r w:rsidRPr="00FC5B6A">
        <w:rPr>
          <w:rFonts w:ascii="Calibri" w:eastAsia="Calibri" w:hAnsi="Calibri" w:cs="Calibri"/>
        </w:rPr>
        <w:t>Selección de los tipos de cambios que se introducirán al paisaje para lograr los cambios deseados en materia de aumento de la cobertura de bosques, conectividad y conservación del recurso hídrico y la biodiversidad. (Extraído de PNGIBSE)</w:t>
      </w:r>
    </w:p>
    <w:p w14:paraId="702B7205" w14:textId="62C72E76" w:rsidR="08C22EB9" w:rsidRPr="00FC5B6A" w:rsidRDefault="08C22EB9" w:rsidP="30211074">
      <w:pPr>
        <w:spacing w:line="257" w:lineRule="auto"/>
        <w:jc w:val="both"/>
      </w:pPr>
      <w:r w:rsidRPr="00FC5B6A">
        <w:rPr>
          <w:rFonts w:ascii="Calibri" w:eastAsia="Calibri" w:hAnsi="Calibri" w:cs="Calibri"/>
          <w:b/>
          <w:bCs/>
          <w:i/>
          <w:iCs/>
        </w:rPr>
        <w:t xml:space="preserve">Licencia de Adecuación: </w:t>
      </w:r>
      <w:r w:rsidRPr="00FC5B6A">
        <w:rPr>
          <w:rFonts w:ascii="Calibri" w:eastAsia="Calibri" w:hAnsi="Calibri" w:cs="Calibri"/>
        </w:rPr>
        <w:t>Es la autorización para cambiar el uso de una edificación o parte de ella, garantizando la permanencia total o parcial del inmueble original. (Extraído del artículo 2.2.6.1.1.7 Decreto 1077 de 2015)</w:t>
      </w:r>
    </w:p>
    <w:p w14:paraId="5C4CEFB6" w14:textId="63288D8F" w:rsidR="08C22EB9" w:rsidRPr="00FC5B6A" w:rsidRDefault="08C22EB9" w:rsidP="30211074">
      <w:pPr>
        <w:spacing w:line="257" w:lineRule="auto"/>
        <w:jc w:val="both"/>
      </w:pPr>
      <w:r w:rsidRPr="00FC5B6A">
        <w:rPr>
          <w:rFonts w:ascii="Calibri" w:eastAsia="Calibri" w:hAnsi="Calibri" w:cs="Calibri"/>
          <w:b/>
          <w:bCs/>
          <w:i/>
          <w:iCs/>
        </w:rPr>
        <w:t xml:space="preserve">Licencia de Ampliación: </w:t>
      </w:r>
      <w:r w:rsidRPr="00FC5B6A">
        <w:rPr>
          <w:rFonts w:ascii="Calibri" w:eastAsia="Calibri" w:hAnsi="Calibri" w:cs="Calibri"/>
        </w:rPr>
        <w:t>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 (Extraído del artículo 2.2.6.1.1.7 Decreto 1077 de 2015)</w:t>
      </w:r>
    </w:p>
    <w:p w14:paraId="0D7AEF1F" w14:textId="7AB68F16" w:rsidR="08C22EB9" w:rsidRPr="00FC5B6A" w:rsidRDefault="08C22EB9" w:rsidP="30211074">
      <w:pPr>
        <w:spacing w:line="257" w:lineRule="auto"/>
        <w:jc w:val="both"/>
      </w:pPr>
      <w:r w:rsidRPr="00FC5B6A">
        <w:rPr>
          <w:rFonts w:ascii="Calibri" w:eastAsia="Calibri" w:hAnsi="Calibri" w:cs="Calibri"/>
          <w:b/>
          <w:bCs/>
          <w:i/>
          <w:iCs/>
        </w:rPr>
        <w:t xml:space="preserve">Licencia de Demolición: </w:t>
      </w:r>
      <w:r w:rsidRPr="00FC5B6A">
        <w:rPr>
          <w:rFonts w:ascii="Calibri" w:eastAsia="Calibri" w:hAnsi="Calibri" w:cs="Calibri"/>
        </w:rPr>
        <w:t>Es la autorización para derribar total o parcialmente una o varias edificaciones existentes en uno o varios predios y deberá concederse de manera simultánea con cualquiera otra modalidad de licencia de construcción</w:t>
      </w:r>
      <w:r w:rsidRPr="00FC5B6A">
        <w:rPr>
          <w:rFonts w:ascii="Calibri" w:eastAsia="Calibri" w:hAnsi="Calibri" w:cs="Calibri"/>
          <w:b/>
          <w:bCs/>
          <w:i/>
          <w:iCs/>
        </w:rPr>
        <w:t xml:space="preserve">. </w:t>
      </w:r>
      <w:r w:rsidRPr="00FC5B6A">
        <w:rPr>
          <w:rFonts w:ascii="Calibri" w:eastAsia="Calibri" w:hAnsi="Calibri" w:cs="Calibri"/>
        </w:rPr>
        <w:t>(Extraído del artículo 2.2.6.1.1.7 Decreto 1077 de 2015)</w:t>
      </w:r>
    </w:p>
    <w:p w14:paraId="5C6116A4" w14:textId="759E3585" w:rsidR="08C22EB9" w:rsidRPr="00FC5B6A" w:rsidRDefault="08C22EB9" w:rsidP="30211074">
      <w:pPr>
        <w:spacing w:line="257" w:lineRule="auto"/>
        <w:jc w:val="both"/>
      </w:pPr>
      <w:r w:rsidRPr="00FC5B6A">
        <w:rPr>
          <w:rFonts w:ascii="Calibri" w:eastAsia="Calibri" w:hAnsi="Calibri" w:cs="Calibri"/>
          <w:b/>
          <w:bCs/>
          <w:i/>
          <w:iCs/>
        </w:rPr>
        <w:t>Licencia de Modificación:</w:t>
      </w:r>
      <w:r w:rsidRPr="00FC5B6A">
        <w:rPr>
          <w:rFonts w:ascii="Calibri" w:eastAsia="Calibri" w:hAnsi="Calibri" w:cs="Calibri"/>
          <w:i/>
          <w:iCs/>
        </w:rPr>
        <w:t xml:space="preserve"> Es la autorización para variar el diseño arquitectónico o estructural de una edificación existente, sin incrementar su área construida. </w:t>
      </w:r>
      <w:r w:rsidRPr="00FC5B6A">
        <w:rPr>
          <w:rFonts w:ascii="Calibri" w:eastAsia="Calibri" w:hAnsi="Calibri" w:cs="Calibri"/>
        </w:rPr>
        <w:t>(Extraído del artículo 2.2.6.1.1.7 Decreto 1077 de 2015)</w:t>
      </w:r>
    </w:p>
    <w:p w14:paraId="1CBAD29C" w14:textId="40FED498" w:rsidR="08C22EB9" w:rsidRPr="00FC5B6A" w:rsidRDefault="08C22EB9" w:rsidP="30211074">
      <w:pPr>
        <w:spacing w:line="257" w:lineRule="auto"/>
        <w:jc w:val="both"/>
      </w:pPr>
      <w:r w:rsidRPr="00FC5B6A">
        <w:rPr>
          <w:rFonts w:ascii="Calibri" w:eastAsia="Calibri" w:hAnsi="Calibri" w:cs="Calibri"/>
          <w:b/>
          <w:bCs/>
          <w:i/>
          <w:iCs/>
        </w:rPr>
        <w:t xml:space="preserve">Licencia de Obra nueva: </w:t>
      </w:r>
      <w:r w:rsidRPr="00FC5B6A">
        <w:rPr>
          <w:rFonts w:ascii="Calibri" w:eastAsia="Calibri" w:hAnsi="Calibri" w:cs="Calibri"/>
          <w:i/>
          <w:iCs/>
        </w:rPr>
        <w:t>Es la autorización para adelantar obras de edificación en predios no construidos o cuya área esté libre por autorización de demolición total.</w:t>
      </w:r>
      <w:r w:rsidRPr="00FC5B6A">
        <w:rPr>
          <w:rFonts w:ascii="Calibri" w:eastAsia="Calibri" w:hAnsi="Calibri" w:cs="Calibri"/>
          <w:b/>
          <w:bCs/>
          <w:i/>
          <w:iCs/>
        </w:rPr>
        <w:t xml:space="preserve"> </w:t>
      </w:r>
      <w:r w:rsidRPr="00FC5B6A">
        <w:rPr>
          <w:rFonts w:ascii="Calibri" w:eastAsia="Calibri" w:hAnsi="Calibri" w:cs="Calibri"/>
        </w:rPr>
        <w:t xml:space="preserve"> (Extraído del artículo 2.2.6.1.1.7 Decreto 1077 de 2015)</w:t>
      </w:r>
    </w:p>
    <w:p w14:paraId="07AC96FE" w14:textId="5031B9F4" w:rsidR="08C22EB9" w:rsidRPr="00FC5B6A" w:rsidRDefault="08C22EB9" w:rsidP="30211074">
      <w:pPr>
        <w:spacing w:line="257" w:lineRule="auto"/>
        <w:jc w:val="both"/>
      </w:pPr>
      <w:r w:rsidRPr="00FC5B6A">
        <w:rPr>
          <w:rFonts w:ascii="Calibri" w:eastAsia="Calibri" w:hAnsi="Calibri" w:cs="Calibri"/>
          <w:b/>
          <w:bCs/>
          <w:i/>
          <w:iCs/>
        </w:rPr>
        <w:t>Licencia de Reconstrucción</w:t>
      </w:r>
      <w:r w:rsidRPr="00FC5B6A">
        <w:rPr>
          <w:rFonts w:ascii="Calibri" w:eastAsia="Calibri" w:hAnsi="Calibri" w:cs="Calibri"/>
        </w:rPr>
        <w:t>: 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~e deberá dar cumplimiento a las normas de sismo resistencia y accesibilidad, y se efectuará sin perjuicio de las disposiciones de conservación de bienes de interés cultural</w:t>
      </w:r>
      <w:r w:rsidRPr="00FC5B6A">
        <w:rPr>
          <w:rFonts w:ascii="Calibri" w:eastAsia="Calibri" w:hAnsi="Calibri" w:cs="Calibri"/>
          <w:b/>
          <w:bCs/>
          <w:i/>
          <w:iCs/>
        </w:rPr>
        <w:t xml:space="preserve">. </w:t>
      </w:r>
      <w:r w:rsidRPr="00FC5B6A">
        <w:rPr>
          <w:rFonts w:ascii="Calibri" w:eastAsia="Calibri" w:hAnsi="Calibri" w:cs="Calibri"/>
        </w:rPr>
        <w:t>(Extraído del artículo 2.2.6.1.1.7 Decreto 1077 de 2015)</w:t>
      </w:r>
    </w:p>
    <w:p w14:paraId="21CC39BE" w14:textId="3528F649" w:rsidR="08C22EB9" w:rsidRPr="00FC5B6A" w:rsidRDefault="08C22EB9" w:rsidP="30211074">
      <w:pPr>
        <w:spacing w:line="257" w:lineRule="auto"/>
        <w:jc w:val="both"/>
      </w:pPr>
      <w:r w:rsidRPr="00FC5B6A">
        <w:rPr>
          <w:rFonts w:ascii="Calibri" w:eastAsia="Calibri" w:hAnsi="Calibri" w:cs="Calibri"/>
          <w:b/>
          <w:bCs/>
          <w:i/>
          <w:iCs/>
        </w:rPr>
        <w:lastRenderedPageBreak/>
        <w:t>Licencia de Reforzamiento Estructural:</w:t>
      </w:r>
      <w:r w:rsidRPr="00FC5B6A">
        <w:rPr>
          <w:rFonts w:ascii="Calibri" w:eastAsia="Calibri" w:hAnsi="Calibri" w:cs="Calibri"/>
        </w:rPr>
        <w:t xml:space="preserve"> 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 (Extraído del artículo 2.2.6.1.1.7 Decreto 1077 de 2015)</w:t>
      </w:r>
    </w:p>
    <w:p w14:paraId="1410381D" w14:textId="6587DFE9" w:rsidR="08C22EB9" w:rsidRDefault="08C22EB9" w:rsidP="30211074">
      <w:pPr>
        <w:spacing w:line="257" w:lineRule="auto"/>
        <w:jc w:val="both"/>
        <w:rPr>
          <w:rFonts w:ascii="Calibri" w:eastAsia="Calibri" w:hAnsi="Calibri" w:cs="Calibri"/>
        </w:rPr>
      </w:pPr>
      <w:r w:rsidRPr="00FC5B6A">
        <w:rPr>
          <w:rFonts w:ascii="Calibri" w:eastAsia="Calibri" w:hAnsi="Calibri" w:cs="Calibri"/>
          <w:b/>
          <w:bCs/>
          <w:i/>
          <w:iCs/>
        </w:rPr>
        <w:t>Manejo sostenible</w:t>
      </w:r>
      <w:r w:rsidRPr="00FC5B6A">
        <w:rPr>
          <w:rFonts w:ascii="Calibri" w:eastAsia="Calibri" w:hAnsi="Calibri" w:cs="Calibri"/>
        </w:rPr>
        <w:t>. Planificación y ejecución de prácticas sostenibles para el manejo, uso y aprovechamiento de la flora silvestre y de los productos forestales no maderables, que, salvaguardando el equilibrio de los ecosistemas y sus funciones, permitan mejorar la producción de bienes y servicios, apoyado en la evaluación de su estructura, características intrínsecas y potencial y, respetando los usos tradicionales y el valor cultural. (Extraído del Artículo 2.2.1.1.1.1, Decreto 1076 de 2015)</w:t>
      </w:r>
    </w:p>
    <w:p w14:paraId="40EE20CD" w14:textId="77777777" w:rsidR="003A616D" w:rsidRPr="00455F2D" w:rsidRDefault="003A616D" w:rsidP="003A616D">
      <w:pPr>
        <w:spacing w:line="257" w:lineRule="auto"/>
        <w:jc w:val="both"/>
        <w:rPr>
          <w:rFonts w:ascii="Calibri" w:eastAsia="Calibri" w:hAnsi="Calibri" w:cs="Calibri"/>
          <w:b/>
          <w:bCs/>
          <w:i/>
          <w:iCs/>
        </w:rPr>
      </w:pPr>
      <w:r w:rsidRPr="00455F2D">
        <w:rPr>
          <w:rFonts w:ascii="Calibri" w:eastAsia="Calibri" w:hAnsi="Calibri" w:cs="Calibri"/>
          <w:b/>
          <w:bCs/>
          <w:i/>
          <w:iCs/>
        </w:rPr>
        <w:t xml:space="preserve">Metodología para la definición de las bases técnicas de la Zonificación Ambiental para las Subregiones PEDET, objeto del Acuerdo Final de Paz: </w:t>
      </w:r>
      <w:r w:rsidRPr="00E74796">
        <w:rPr>
          <w:rFonts w:ascii="Calibri" w:eastAsia="Calibri" w:hAnsi="Calibri" w:cs="Calibri"/>
        </w:rPr>
        <w:t xml:space="preserve">permite hacer una identificación y priorización de áreas al interior de un territorio, a partir de la relación entre la oferta de servicios ecosistémicos, las dinámicas </w:t>
      </w:r>
      <w:proofErr w:type="gramStart"/>
      <w:r w:rsidRPr="00E74796">
        <w:rPr>
          <w:rFonts w:ascii="Calibri" w:eastAsia="Calibri" w:hAnsi="Calibri" w:cs="Calibri"/>
        </w:rPr>
        <w:t>socio-ambientales</w:t>
      </w:r>
      <w:proofErr w:type="gramEnd"/>
      <w:r w:rsidRPr="00E74796">
        <w:rPr>
          <w:rFonts w:ascii="Calibri" w:eastAsia="Calibri" w:hAnsi="Calibri" w:cs="Calibri"/>
        </w:rPr>
        <w:t xml:space="preserve"> que presionan dicha oferta y las Áreas de Especial Importancia Ambiental (AEIA) presentes.</w:t>
      </w:r>
    </w:p>
    <w:p w14:paraId="17652499" w14:textId="5404795D" w:rsidR="003A616D" w:rsidRPr="00E74796" w:rsidRDefault="003A616D" w:rsidP="30211074">
      <w:pPr>
        <w:spacing w:line="257" w:lineRule="auto"/>
        <w:jc w:val="both"/>
        <w:rPr>
          <w:rFonts w:ascii="Calibri" w:eastAsia="Calibri" w:hAnsi="Calibri" w:cs="Calibri"/>
          <w:b/>
          <w:bCs/>
          <w:i/>
          <w:iCs/>
        </w:rPr>
      </w:pPr>
      <w:r w:rsidRPr="00455F2D">
        <w:rPr>
          <w:rFonts w:ascii="Calibri" w:eastAsia="Calibri" w:hAnsi="Calibri" w:cs="Calibri"/>
          <w:b/>
          <w:bCs/>
          <w:i/>
          <w:iCs/>
        </w:rPr>
        <w:t xml:space="preserve">Ordenamiento participativo ambiental en la reserva: </w:t>
      </w:r>
      <w:r w:rsidRPr="00E74796">
        <w:rPr>
          <w:rFonts w:ascii="Calibri" w:eastAsia="Calibri" w:hAnsi="Calibri" w:cs="Calibri"/>
        </w:rPr>
        <w:t xml:space="preserve">proceso técnico, social e institucional, desarrollado con la participación como eje transversal, mediante el cual las autoridades ambientales, en coordinación con las entidades territoriales, las comunidades y demás actores del territorio identifican, valoran y orientan los usos del territorio con un enfoque diferencial de las comunidades, hacia un modelo de uso sostenible y conectividad ecológica. </w:t>
      </w:r>
    </w:p>
    <w:p w14:paraId="28A5EB87" w14:textId="250B1064" w:rsidR="00317462" w:rsidRPr="00FC5B6A" w:rsidRDefault="00317462" w:rsidP="30211074">
      <w:pPr>
        <w:spacing w:line="257" w:lineRule="auto"/>
        <w:jc w:val="both"/>
        <w:rPr>
          <w:rFonts w:ascii="Calibri" w:eastAsia="Calibri" w:hAnsi="Calibri" w:cs="Calibri"/>
        </w:rPr>
      </w:pPr>
      <w:r w:rsidRPr="00FC5B6A">
        <w:rPr>
          <w:rFonts w:ascii="Calibri" w:eastAsia="Calibri" w:hAnsi="Calibri" w:cs="Calibri"/>
          <w:b/>
          <w:bCs/>
          <w:i/>
          <w:iCs/>
        </w:rPr>
        <w:t>Páramo</w:t>
      </w:r>
      <w:r w:rsidR="00031770" w:rsidRPr="00FC5B6A">
        <w:rPr>
          <w:rStyle w:val="Refdenotaalpie"/>
          <w:rFonts w:ascii="Calibri" w:eastAsia="Calibri" w:hAnsi="Calibri" w:cs="Calibri"/>
          <w:b/>
          <w:bCs/>
          <w:i/>
          <w:iCs/>
        </w:rPr>
        <w:footnoteReference w:id="2"/>
      </w:r>
      <w:r w:rsidR="00031770" w:rsidRPr="00FC5B6A">
        <w:rPr>
          <w:rFonts w:ascii="Calibri" w:eastAsia="Calibri" w:hAnsi="Calibri" w:cs="Calibri"/>
          <w:b/>
          <w:bCs/>
          <w:i/>
          <w:iCs/>
        </w:rPr>
        <w:t>:</w:t>
      </w:r>
      <w:r w:rsidR="00031770" w:rsidRPr="00FC5B6A">
        <w:rPr>
          <w:rFonts w:ascii="Calibri" w:eastAsia="Calibri" w:hAnsi="Calibri" w:cs="Calibri"/>
        </w:rPr>
        <w:t xml:space="preserve">  Es un ecosistema ubicado entre el límite superior del bosque altoandino y, si se da el caso, con el límite inferior de los glaciares o nieves perpetuas. Los límites de estos ecosistemas consisten en transiciones entre el bosque altoandino y la parte baja del subpáramo.</w:t>
      </w:r>
    </w:p>
    <w:p w14:paraId="0BB5F039" w14:textId="2B42C524" w:rsidR="00455F2D" w:rsidRDefault="00455F2D" w:rsidP="30211074">
      <w:pPr>
        <w:spacing w:line="257" w:lineRule="auto"/>
        <w:jc w:val="both"/>
        <w:rPr>
          <w:rFonts w:ascii="Calibri" w:eastAsia="Calibri" w:hAnsi="Calibri" w:cs="Calibri"/>
          <w:b/>
          <w:bCs/>
          <w:i/>
          <w:iCs/>
        </w:rPr>
      </w:pPr>
      <w:r w:rsidRPr="00455F2D">
        <w:rPr>
          <w:rFonts w:ascii="Calibri" w:eastAsia="Calibri" w:hAnsi="Calibri" w:cs="Calibri"/>
          <w:b/>
          <w:bCs/>
          <w:i/>
          <w:iCs/>
        </w:rPr>
        <w:t>Participación ciudadana incidente</w:t>
      </w:r>
      <w:r>
        <w:rPr>
          <w:rFonts w:ascii="Calibri" w:eastAsia="Calibri" w:hAnsi="Calibri" w:cs="Calibri"/>
          <w:b/>
          <w:bCs/>
          <w:i/>
          <w:iCs/>
        </w:rPr>
        <w:t xml:space="preserve">: </w:t>
      </w:r>
      <w:r w:rsidR="003A616D">
        <w:rPr>
          <w:rFonts w:ascii="Calibri" w:eastAsia="Calibri" w:hAnsi="Calibri" w:cs="Calibri"/>
        </w:rPr>
        <w:t>e</w:t>
      </w:r>
      <w:r w:rsidRPr="00E74796">
        <w:rPr>
          <w:rFonts w:ascii="Calibri" w:eastAsia="Calibri" w:hAnsi="Calibri" w:cs="Calibri"/>
        </w:rPr>
        <w:t>s un proceso mediante el cual, el Ministerio de Ambiente y Desarrollo Sostenible y las autoridades ambientales, reciben: (i) insumos, (</w:t>
      </w:r>
      <w:proofErr w:type="spellStart"/>
      <w:r w:rsidRPr="00E74796">
        <w:rPr>
          <w:rFonts w:ascii="Calibri" w:eastAsia="Calibri" w:hAnsi="Calibri" w:cs="Calibri"/>
        </w:rPr>
        <w:t>ii</w:t>
      </w:r>
      <w:proofErr w:type="spellEnd"/>
      <w:r w:rsidRPr="00E74796">
        <w:rPr>
          <w:rFonts w:ascii="Calibri" w:eastAsia="Calibri" w:hAnsi="Calibri" w:cs="Calibri"/>
        </w:rPr>
        <w:t>) saberes, (</w:t>
      </w:r>
      <w:proofErr w:type="spellStart"/>
      <w:r w:rsidRPr="00E74796">
        <w:rPr>
          <w:rFonts w:ascii="Calibri" w:eastAsia="Calibri" w:hAnsi="Calibri" w:cs="Calibri"/>
        </w:rPr>
        <w:t>iii</w:t>
      </w:r>
      <w:proofErr w:type="spellEnd"/>
      <w:r w:rsidRPr="00E74796">
        <w:rPr>
          <w:rFonts w:ascii="Calibri" w:eastAsia="Calibri" w:hAnsi="Calibri" w:cs="Calibri"/>
        </w:rPr>
        <w:t>) sugerencias, (</w:t>
      </w:r>
      <w:proofErr w:type="spellStart"/>
      <w:r w:rsidRPr="00E74796">
        <w:rPr>
          <w:rFonts w:ascii="Calibri" w:eastAsia="Calibri" w:hAnsi="Calibri" w:cs="Calibri"/>
        </w:rPr>
        <w:t>iv</w:t>
      </w:r>
      <w:proofErr w:type="spellEnd"/>
      <w:r w:rsidRPr="00E74796">
        <w:rPr>
          <w:rFonts w:ascii="Calibri" w:eastAsia="Calibri" w:hAnsi="Calibri" w:cs="Calibri"/>
        </w:rPr>
        <w:t xml:space="preserve">) recomendaciones o (v) alertas relacionadas con ecosistemas, contextos o recursos, por parte de los distintos grupos de interés (actores comunitarios, sociales, institucionales, privados, entre otros); los incorpora de manera expresa en el análisis y/o consideraciones de la decisión y/o en la elaboración de la zonificación según corresponda; se pronuncia sobre ellos para acogerlos y/o </w:t>
      </w:r>
      <w:r w:rsidRPr="00E74796">
        <w:rPr>
          <w:rFonts w:ascii="Calibri" w:eastAsia="Calibri" w:hAnsi="Calibri" w:cs="Calibri"/>
        </w:rPr>
        <w:lastRenderedPageBreak/>
        <w:t>rechazarlos, indicando de manera clara por qué los acoge o rechaza y dando a conocer, además, la correspondiente decisión o versión final del estudio a los grupos de interés</w:t>
      </w:r>
      <w:r w:rsidR="003A616D">
        <w:rPr>
          <w:rFonts w:ascii="Calibri" w:eastAsia="Calibri" w:hAnsi="Calibri" w:cs="Calibri"/>
        </w:rPr>
        <w:t>.</w:t>
      </w:r>
    </w:p>
    <w:p w14:paraId="4C29ACD4" w14:textId="7650901F" w:rsidR="08C22EB9" w:rsidRPr="00FC5B6A" w:rsidRDefault="08C22EB9" w:rsidP="30211074">
      <w:pPr>
        <w:spacing w:line="257" w:lineRule="auto"/>
        <w:jc w:val="both"/>
      </w:pPr>
      <w:r w:rsidRPr="00FC5B6A">
        <w:rPr>
          <w:rFonts w:ascii="Calibri" w:eastAsia="Calibri" w:hAnsi="Calibri" w:cs="Calibri"/>
          <w:b/>
          <w:bCs/>
          <w:i/>
          <w:iCs/>
        </w:rPr>
        <w:t xml:space="preserve">Plantación Forestal: </w:t>
      </w:r>
      <w:r w:rsidRPr="00FC5B6A">
        <w:rPr>
          <w:rFonts w:ascii="Calibri" w:eastAsia="Calibri" w:hAnsi="Calibri" w:cs="Calibri"/>
        </w:rPr>
        <w:t>Es el bosque originado por la intervención directa del hombre. (Extraído del Artículo 2.2.1.1.1.1, Decreto 1076 de 2015)</w:t>
      </w:r>
    </w:p>
    <w:p w14:paraId="6009A25D" w14:textId="693E6E00" w:rsidR="08C22EB9" w:rsidRPr="00FC5B6A" w:rsidRDefault="08C22EB9" w:rsidP="30211074">
      <w:pPr>
        <w:spacing w:line="257" w:lineRule="auto"/>
        <w:jc w:val="both"/>
      </w:pPr>
      <w:r w:rsidRPr="00FC5B6A">
        <w:rPr>
          <w:rFonts w:ascii="Calibri" w:eastAsia="Calibri" w:hAnsi="Calibri" w:cs="Calibri"/>
          <w:b/>
          <w:bCs/>
          <w:i/>
          <w:iCs/>
        </w:rPr>
        <w:t>Plantaciones forestales protectoras-productoras.</w:t>
      </w:r>
      <w:r w:rsidRPr="00FC5B6A">
        <w:rPr>
          <w:rFonts w:ascii="Calibri" w:eastAsia="Calibri" w:hAnsi="Calibri" w:cs="Calibri"/>
          <w:b/>
          <w:bCs/>
        </w:rPr>
        <w:t xml:space="preserve"> </w:t>
      </w:r>
      <w:r w:rsidRPr="00FC5B6A">
        <w:rPr>
          <w:rFonts w:ascii="Calibri" w:eastAsia="Calibri" w:hAnsi="Calibri" w:cs="Calibri"/>
        </w:rPr>
        <w:t>Las que se establezcan en área forestal protectora en que el aprovechamiento directo o indirecto de la plantación está condicionado al mantenimiento de su efecto de protección del recurso. Además, se consideran plantaciones forestales protectoras - productoras las que se establecieron en áreas forestales protectoras - productoras, clasificadas como tales antes de la vigencia de la Ley 1450 de 2011; las establecidas en cumplimiento del artículo 231 del Decreto Ley 2811 de 1974; y las que se establecen sin el Certificado de Incentivo Forestal (CIF) de reforestación.</w:t>
      </w:r>
    </w:p>
    <w:p w14:paraId="66F51742" w14:textId="6A9BE6AA" w:rsidR="08C22EB9" w:rsidRPr="00FC5B6A" w:rsidRDefault="08C22EB9" w:rsidP="30211074">
      <w:pPr>
        <w:spacing w:line="257" w:lineRule="auto"/>
        <w:jc w:val="both"/>
      </w:pPr>
      <w:r w:rsidRPr="00FC5B6A">
        <w:rPr>
          <w:rFonts w:ascii="Calibri" w:eastAsia="Calibri" w:hAnsi="Calibri" w:cs="Calibri"/>
        </w:rPr>
        <w:t>El registro, aprovechamiento, y demás actuaciones relacionadas con las plantaciones forestales protectoras - productoras en cualquiera de sus modalidades será competencia de las autoridades ambientales regionales. (Extraído del Artículo 2.2.1.1.12.1., Decreto 1076 de 2015).</w:t>
      </w:r>
    </w:p>
    <w:p w14:paraId="59317C68" w14:textId="13FCEF47" w:rsidR="08C22EB9" w:rsidRPr="00FC5B6A" w:rsidRDefault="08C22EB9" w:rsidP="30211074">
      <w:pPr>
        <w:spacing w:line="257" w:lineRule="auto"/>
        <w:jc w:val="both"/>
      </w:pPr>
      <w:r w:rsidRPr="00FC5B6A">
        <w:rPr>
          <w:rFonts w:ascii="Calibri" w:eastAsia="Calibri" w:hAnsi="Calibri" w:cs="Calibri"/>
          <w:b/>
          <w:bCs/>
          <w:i/>
          <w:iCs/>
        </w:rPr>
        <w:t xml:space="preserve">Plantaciones forestales protectoras. </w:t>
      </w:r>
      <w:r w:rsidRPr="00FC5B6A">
        <w:rPr>
          <w:rFonts w:ascii="Calibri" w:eastAsia="Calibri" w:hAnsi="Calibri" w:cs="Calibri"/>
        </w:rPr>
        <w:t xml:space="preserve">Son las que se establecen en áreas forestales protectoras para proteger o recuperar algún recurso natural renovable. En ellas se puede adelantar aprovechamiento de productos forestales no maderables y desarrollar actividades de manejo silvicultural, </w:t>
      </w:r>
      <w:r w:rsidR="00640845" w:rsidRPr="00FC5B6A">
        <w:rPr>
          <w:rFonts w:ascii="Calibri" w:eastAsia="Calibri" w:hAnsi="Calibri" w:cs="Calibri"/>
        </w:rPr>
        <w:t>asegurándola</w:t>
      </w:r>
      <w:r w:rsidRPr="00FC5B6A">
        <w:rPr>
          <w:rFonts w:ascii="Calibri" w:eastAsia="Calibri" w:hAnsi="Calibri" w:cs="Calibri"/>
        </w:rPr>
        <w:t xml:space="preserve"> persistencia del recurso.</w:t>
      </w:r>
    </w:p>
    <w:p w14:paraId="413C8405" w14:textId="24134BE5" w:rsidR="08C22EB9" w:rsidRPr="00FC5B6A" w:rsidRDefault="08C22EB9" w:rsidP="30211074">
      <w:pPr>
        <w:spacing w:line="257" w:lineRule="auto"/>
        <w:jc w:val="both"/>
      </w:pPr>
      <w:r w:rsidRPr="00FC5B6A">
        <w:rPr>
          <w:rFonts w:ascii="Calibri" w:eastAsia="Calibri" w:hAnsi="Calibri" w:cs="Calibri"/>
        </w:rPr>
        <w:t>El registro, aprovechamiento, y demás actuaciones relacionadas con las plantaciones forestales protectoras en cualquiera de sus modalidades será competencia de las autoridades ambientales regionales. (Extraído del Artículo 2.2.1.1.12.1., Decreto 1076 de 2015).</w:t>
      </w:r>
    </w:p>
    <w:p w14:paraId="2A0DA46F" w14:textId="326527FB" w:rsidR="08C22EB9" w:rsidRPr="00FC5B6A" w:rsidRDefault="08C22EB9" w:rsidP="30211074">
      <w:pPr>
        <w:spacing w:line="257" w:lineRule="auto"/>
        <w:jc w:val="both"/>
      </w:pPr>
      <w:r w:rsidRPr="00FC5B6A">
        <w:rPr>
          <w:rFonts w:ascii="Calibri" w:eastAsia="Calibri" w:hAnsi="Calibri" w:cs="Calibri"/>
          <w:b/>
          <w:bCs/>
          <w:i/>
          <w:iCs/>
        </w:rPr>
        <w:t>Plan de ordenación forestal:</w:t>
      </w:r>
      <w:r w:rsidRPr="00FC5B6A">
        <w:rPr>
          <w:rFonts w:ascii="Calibri" w:eastAsia="Calibri" w:hAnsi="Calibri" w:cs="Calibri"/>
          <w:i/>
          <w:iCs/>
        </w:rPr>
        <w:t xml:space="preserve"> </w:t>
      </w:r>
      <w:r w:rsidRPr="00FC5B6A">
        <w:rPr>
          <w:rFonts w:ascii="Calibri" w:eastAsia="Calibri" w:hAnsi="Calibri" w:cs="Calibri"/>
        </w:rPr>
        <w:t xml:space="preserve">Es el estudio elaborado por las corporaciones que, fundamentado en la descripción de los aspectos bióticos; abióticos, sociales y económicos, tiene por objeto asegurar que el interesado en utilizar el recurso en un área forestal </w:t>
      </w:r>
      <w:proofErr w:type="gramStart"/>
      <w:r w:rsidRPr="00FC5B6A">
        <w:rPr>
          <w:rFonts w:ascii="Calibri" w:eastAsia="Calibri" w:hAnsi="Calibri" w:cs="Calibri"/>
        </w:rPr>
        <w:t>productora,</w:t>
      </w:r>
      <w:proofErr w:type="gramEnd"/>
      <w:r w:rsidRPr="00FC5B6A">
        <w:rPr>
          <w:rFonts w:ascii="Calibri" w:eastAsia="Calibri" w:hAnsi="Calibri" w:cs="Calibri"/>
        </w:rPr>
        <w:t xml:space="preserve"> desarrolle su actividad en forma planificada para así garantizar el manejo adecuado y el aprovechamiento sostenible del recurso. (Extraído del Artículo 2.2.1.1.1.1, Decreto 1076 de 2015)</w:t>
      </w:r>
    </w:p>
    <w:p w14:paraId="7D5F870E" w14:textId="468261E1" w:rsidR="08C22EB9" w:rsidRPr="00FC5B6A" w:rsidRDefault="08C22EB9" w:rsidP="30211074">
      <w:pPr>
        <w:spacing w:line="257" w:lineRule="auto"/>
        <w:jc w:val="both"/>
      </w:pPr>
      <w:r w:rsidRPr="00FC5B6A">
        <w:rPr>
          <w:rFonts w:ascii="Calibri" w:eastAsia="Calibri" w:hAnsi="Calibri" w:cs="Calibri"/>
          <w:b/>
          <w:bCs/>
          <w:i/>
          <w:iCs/>
        </w:rPr>
        <w:t>Producto de la flora silvestre</w:t>
      </w:r>
      <w:r w:rsidRPr="00FC5B6A">
        <w:rPr>
          <w:rFonts w:ascii="Calibri" w:eastAsia="Calibri" w:hAnsi="Calibri" w:cs="Calibri"/>
          <w:i/>
          <w:iCs/>
        </w:rPr>
        <w:t>:</w:t>
      </w:r>
      <w:r w:rsidRPr="00FC5B6A">
        <w:rPr>
          <w:rFonts w:ascii="Calibri" w:eastAsia="Calibri" w:hAnsi="Calibri" w:cs="Calibri"/>
        </w:rPr>
        <w:t xml:space="preserve"> Son los productos no maderables obtenidos a partir de las especies vegetales silvestres, tales como gomas, resinas, látex, lacas, frutos, cortezas, estirpes, semillas y flores, entre otros.</w:t>
      </w:r>
      <w:r w:rsidRPr="00FC5B6A">
        <w:rPr>
          <w:rFonts w:ascii="Calibri" w:eastAsia="Calibri" w:hAnsi="Calibri" w:cs="Calibri"/>
          <w:i/>
          <w:iCs/>
        </w:rPr>
        <w:t xml:space="preserve"> </w:t>
      </w:r>
      <w:r w:rsidRPr="00FC5B6A">
        <w:rPr>
          <w:rFonts w:ascii="Calibri" w:eastAsia="Calibri" w:hAnsi="Calibri" w:cs="Calibri"/>
        </w:rPr>
        <w:t xml:space="preserve"> (Extraído del Artículo 2.2.1.1.1.1, Decreto 1076 de 2015)</w:t>
      </w:r>
    </w:p>
    <w:p w14:paraId="3A3CD94D" w14:textId="10E0839C" w:rsidR="08C22EB9" w:rsidRPr="00FC5B6A" w:rsidRDefault="08C22EB9" w:rsidP="30211074">
      <w:pPr>
        <w:spacing w:line="257" w:lineRule="auto"/>
        <w:jc w:val="both"/>
      </w:pPr>
      <w:r w:rsidRPr="00FC5B6A">
        <w:rPr>
          <w:rFonts w:ascii="Calibri" w:eastAsia="Calibri" w:hAnsi="Calibri" w:cs="Calibri"/>
          <w:b/>
          <w:bCs/>
          <w:i/>
          <w:iCs/>
        </w:rPr>
        <w:t xml:space="preserve">Productos forestales maderables: </w:t>
      </w:r>
      <w:r w:rsidRPr="00FC5B6A">
        <w:rPr>
          <w:rFonts w:ascii="Calibri" w:eastAsia="Calibri" w:hAnsi="Calibri" w:cs="Calibri"/>
        </w:rPr>
        <w:t>Es la madera que se obtiene del aprovechamiento de especies forestales leñosas, así como los productos y derivados que se obtengan de la transformación de esta. Se diferencia entre rollizos y aserrados. (Extraído del Artículo 2.2.1.1.1.1, Decreto 1076 de 2015)</w:t>
      </w:r>
    </w:p>
    <w:p w14:paraId="6DE4F485" w14:textId="0D84C2BD" w:rsidR="08C22EB9" w:rsidRPr="00FC5B6A" w:rsidRDefault="08C22EB9" w:rsidP="30211074">
      <w:pPr>
        <w:spacing w:line="257" w:lineRule="auto"/>
        <w:jc w:val="both"/>
      </w:pPr>
      <w:r w:rsidRPr="00FC5B6A">
        <w:rPr>
          <w:rFonts w:ascii="Calibri" w:eastAsia="Calibri" w:hAnsi="Calibri" w:cs="Calibri"/>
          <w:b/>
          <w:bCs/>
          <w:i/>
          <w:iCs/>
        </w:rPr>
        <w:t xml:space="preserve">Producto forestal no maderable: </w:t>
      </w:r>
      <w:r w:rsidRPr="00FC5B6A">
        <w:rPr>
          <w:rFonts w:ascii="Calibri" w:eastAsia="Calibri" w:hAnsi="Calibri" w:cs="Calibri"/>
        </w:rPr>
        <w:t>Bienes de origen biológico distintos de la madera y la fauna, que se obtienen de las variadas formas de vida de la flora silvestre, incluidos los hongos, y que hacen parte de los ecosistemas naturales. (Extraído del Artículo 2.2.1.1.1.1, Decreto 1076 de 2015)</w:t>
      </w:r>
    </w:p>
    <w:p w14:paraId="60E99446" w14:textId="104793D0" w:rsidR="08C22EB9" w:rsidRPr="00FC5B6A" w:rsidRDefault="08C22EB9" w:rsidP="30211074">
      <w:pPr>
        <w:spacing w:line="257" w:lineRule="auto"/>
        <w:jc w:val="both"/>
      </w:pPr>
      <w:r w:rsidRPr="00FC5B6A">
        <w:rPr>
          <w:rFonts w:ascii="Calibri" w:eastAsia="Calibri" w:hAnsi="Calibri" w:cs="Calibri"/>
          <w:b/>
          <w:bCs/>
          <w:i/>
          <w:iCs/>
        </w:rPr>
        <w:t xml:space="preserve">Preservación de biodiversidad: </w:t>
      </w:r>
      <w:r w:rsidRPr="00FC5B6A">
        <w:rPr>
          <w:rFonts w:ascii="Calibri" w:eastAsia="Calibri" w:hAnsi="Calibri" w:cs="Calibri"/>
        </w:rPr>
        <w:t>Término que hace alusión al mantenimiento del estado natural de la biodiversidad y los ecosistemas mediante la limitación o eliminación de la intervención humana en ellos. (Extraído de PNGIBSE).</w:t>
      </w:r>
    </w:p>
    <w:p w14:paraId="20E495A1" w14:textId="210F9DF0" w:rsidR="08C22EB9" w:rsidRPr="00FC5B6A" w:rsidRDefault="08C22EB9" w:rsidP="30211074">
      <w:pPr>
        <w:spacing w:line="257" w:lineRule="auto"/>
        <w:jc w:val="both"/>
      </w:pPr>
      <w:r w:rsidRPr="00FC5B6A">
        <w:rPr>
          <w:rFonts w:ascii="Calibri" w:eastAsia="Calibri" w:hAnsi="Calibri" w:cs="Calibri"/>
          <w:b/>
          <w:bCs/>
          <w:i/>
          <w:iCs/>
        </w:rPr>
        <w:lastRenderedPageBreak/>
        <w:t>Preservación:</w:t>
      </w:r>
      <w:r w:rsidRPr="00FC5B6A">
        <w:rPr>
          <w:rFonts w:ascii="Calibri" w:eastAsia="Calibri" w:hAnsi="Calibri" w:cs="Calibri"/>
        </w:rPr>
        <w:t xml:space="preserve"> Mantener la composición, estructura y función de la biodiversidad, conforme su dinámica natural y evitando al máximo la intervención humana y sus efectos. (Extraído del Artículo 2.2.2.1.1.2, Decreto 1076 de 2015)</w:t>
      </w:r>
    </w:p>
    <w:p w14:paraId="17DE807F" w14:textId="6F7C9DC9" w:rsidR="08C22EB9" w:rsidRPr="00FC5B6A" w:rsidRDefault="08C22EB9" w:rsidP="30211074">
      <w:pPr>
        <w:spacing w:line="257" w:lineRule="auto"/>
        <w:jc w:val="both"/>
      </w:pPr>
      <w:r w:rsidRPr="00FC5B6A">
        <w:rPr>
          <w:rFonts w:ascii="Calibri" w:eastAsia="Calibri" w:hAnsi="Calibri" w:cs="Calibri"/>
          <w:b/>
          <w:bCs/>
          <w:i/>
          <w:iCs/>
        </w:rPr>
        <w:t xml:space="preserve">Reconversión Productiva Agropecuaria: </w:t>
      </w:r>
      <w:r w:rsidRPr="00FC5B6A">
        <w:rPr>
          <w:rFonts w:ascii="Calibri" w:eastAsia="Calibri" w:hAnsi="Calibri" w:cs="Calibri"/>
        </w:rPr>
        <w:t>Se entiende como una estrategia de manejo de los sistemas agropecuarios la cual integra y direcciona de manera ordenada las acciones necesarias para lograr el uso eficiente del suelo y del agua e incrementar la sostenibilidad y competitividad. En ese sentido, las estrategias buscan reducir de manera integral los conflictos de uso del territorio teniendo en cuenta las dimensiones biofísicas, ecosistémicas, sociales, económicas, culturales y científico-tecnológicas. Entre los mecanismos de la reconversión productiva se encuentran: la creación de valor agregado, la diversificación agropecuaria, la adecuación de tierras, la conversión agropecuaria, cambios tecnológicos y el cambio de cultivos, entre otros. (Extraído de Artículo 2.18.1.1 Decreto 1071 de 2015)</w:t>
      </w:r>
    </w:p>
    <w:p w14:paraId="5B1CD4B4" w14:textId="618C3DDB" w:rsidR="08C22EB9" w:rsidRPr="00FC5B6A" w:rsidRDefault="08C22EB9" w:rsidP="30211074">
      <w:pPr>
        <w:spacing w:line="257" w:lineRule="auto"/>
        <w:jc w:val="both"/>
      </w:pPr>
      <w:r w:rsidRPr="00FC5B6A">
        <w:rPr>
          <w:rFonts w:ascii="Calibri" w:eastAsia="Calibri" w:hAnsi="Calibri" w:cs="Calibri"/>
          <w:b/>
          <w:bCs/>
          <w:i/>
          <w:iCs/>
        </w:rPr>
        <w:t xml:space="preserve">Recuperación ecológica (reclamación): </w:t>
      </w:r>
      <w:r w:rsidRPr="00FC5B6A">
        <w:rPr>
          <w:rFonts w:ascii="Calibri" w:eastAsia="Calibri" w:hAnsi="Calibri" w:cs="Calibri"/>
        </w:rPr>
        <w:t xml:space="preserve">Que tiene como objetivo retornar la utilidad de un ecosistema sin tener como referencia un estado </w:t>
      </w:r>
      <w:proofErr w:type="spellStart"/>
      <w:r w:rsidRPr="00FC5B6A">
        <w:rPr>
          <w:rFonts w:ascii="Calibri" w:eastAsia="Calibri" w:hAnsi="Calibri" w:cs="Calibri"/>
        </w:rPr>
        <w:t>predisturbio</w:t>
      </w:r>
      <w:proofErr w:type="spellEnd"/>
      <w:r w:rsidRPr="00FC5B6A">
        <w:rPr>
          <w:rFonts w:ascii="Calibri" w:eastAsia="Calibri" w:hAnsi="Calibri" w:cs="Calibri"/>
        </w:rPr>
        <w:t>. En ésta, se reemplaza un ecosistema degradado por otro productivo, pero estas acciones no llevan al ecosistema original. Incluye técnicas como la estabilización, el mejoramiento estético y por lo general, el retorno de las tierras a lo que se consideraría un propósito útil dentro del contexto regional. (Extraído de PNGIBSE).</w:t>
      </w:r>
    </w:p>
    <w:p w14:paraId="069EA4F7" w14:textId="5794766B" w:rsidR="08C22EB9" w:rsidRPr="00FC5B6A" w:rsidRDefault="08C22EB9" w:rsidP="30211074">
      <w:pPr>
        <w:spacing w:line="257" w:lineRule="auto"/>
        <w:jc w:val="both"/>
      </w:pPr>
      <w:r w:rsidRPr="00FC5B6A">
        <w:rPr>
          <w:rFonts w:ascii="Calibri" w:eastAsia="Calibri" w:hAnsi="Calibri" w:cs="Calibri"/>
          <w:b/>
          <w:bCs/>
          <w:i/>
          <w:iCs/>
        </w:rPr>
        <w:t xml:space="preserve">Rehabilitación ecológica: </w:t>
      </w:r>
      <w:r w:rsidRPr="00FC5B6A">
        <w:rPr>
          <w:rFonts w:ascii="Calibri" w:eastAsia="Calibri" w:hAnsi="Calibri" w:cs="Calibri"/>
        </w:rPr>
        <w:t>Proceso que no implica llegar a un estado original y se enfoca en el restablecimiento de manera parcial de elementos estructurales o funcionales del ecosistema deteriorado, así como de la productividad y los servicios ambientales que provee el ecosistema, a través de la aplicación de técnicas. Es posible recuperar la función ecosistémica, sin recuperar completamente su estructura, este caso corresponde a una rehabilitación de la función ecosistémica, incluso con un reemplazo de las especies que lo componen (Samper, 2000). En ocasiones la siembra de árboles nativos o de especies pioneras dominantes y de importancia ecológica puede iniciar una rehabilitación. (Extraído de PNGIBSE).</w:t>
      </w:r>
    </w:p>
    <w:p w14:paraId="2F488B43" w14:textId="0C1EF569" w:rsidR="08C22EB9" w:rsidRPr="00FC5B6A" w:rsidRDefault="08C22EB9" w:rsidP="30211074">
      <w:pPr>
        <w:spacing w:line="257" w:lineRule="auto"/>
        <w:jc w:val="both"/>
      </w:pPr>
      <w:r w:rsidRPr="00FC5B6A">
        <w:rPr>
          <w:rFonts w:ascii="Calibri" w:eastAsia="Calibri" w:hAnsi="Calibri" w:cs="Calibri"/>
          <w:b/>
          <w:bCs/>
          <w:i/>
          <w:iCs/>
        </w:rPr>
        <w:t xml:space="preserve">Restauración ecológica: </w:t>
      </w:r>
      <w:r w:rsidRPr="00FC5B6A">
        <w:rPr>
          <w:rFonts w:ascii="Calibri" w:eastAsia="Calibri" w:hAnsi="Calibri" w:cs="Calibri"/>
        </w:rPr>
        <w:t xml:space="preserve">Proceso dirigido, o por lo menos deliberado, por medio del cual se ejecutan acciones que ayudan a que un ecosistema que ha sido </w:t>
      </w:r>
      <w:proofErr w:type="gramStart"/>
      <w:r w:rsidRPr="00FC5B6A">
        <w:rPr>
          <w:rFonts w:ascii="Calibri" w:eastAsia="Calibri" w:hAnsi="Calibri" w:cs="Calibri"/>
        </w:rPr>
        <w:t>alterado,</w:t>
      </w:r>
      <w:proofErr w:type="gramEnd"/>
      <w:r w:rsidRPr="00FC5B6A">
        <w:rPr>
          <w:rFonts w:ascii="Calibri" w:eastAsia="Calibri" w:hAnsi="Calibri" w:cs="Calibri"/>
        </w:rPr>
        <w:t xml:space="preserve"> recupere su estado inicial, o por lo menos llegue a un punto de buena salud, integridad y sostenibilidad (SER, 2002). (Extraído de PNGIBSE).</w:t>
      </w:r>
    </w:p>
    <w:p w14:paraId="6CF209FA" w14:textId="151F47EE" w:rsidR="08C22EB9" w:rsidRPr="00FC5B6A" w:rsidRDefault="08C22EB9" w:rsidP="30211074">
      <w:pPr>
        <w:spacing w:line="257" w:lineRule="auto"/>
        <w:jc w:val="both"/>
      </w:pPr>
      <w:r w:rsidRPr="00FC5B6A">
        <w:rPr>
          <w:rFonts w:ascii="Calibri" w:eastAsia="Calibri" w:hAnsi="Calibri" w:cs="Calibri"/>
          <w:b/>
          <w:bCs/>
          <w:i/>
          <w:iCs/>
        </w:rPr>
        <w:t>Restauración:</w:t>
      </w:r>
      <w:r w:rsidRPr="00FC5B6A">
        <w:rPr>
          <w:rFonts w:ascii="Calibri" w:eastAsia="Calibri" w:hAnsi="Calibri" w:cs="Calibri"/>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559C9C74" w14:textId="0A75DB09" w:rsidR="08C22EB9" w:rsidRPr="00FC5B6A" w:rsidRDefault="08C22EB9" w:rsidP="30211074">
      <w:pPr>
        <w:spacing w:line="257" w:lineRule="auto"/>
        <w:jc w:val="both"/>
      </w:pPr>
      <w:r w:rsidRPr="00FC5B6A">
        <w:rPr>
          <w:rFonts w:ascii="Calibri" w:eastAsia="Calibri" w:hAnsi="Calibri" w:cs="Calibri"/>
          <w:b/>
          <w:bCs/>
          <w:i/>
          <w:iCs/>
        </w:rPr>
        <w:t xml:space="preserve">Servicios ecosistémicos: </w:t>
      </w:r>
      <w:r w:rsidRPr="00FC5B6A">
        <w:rPr>
          <w:rFonts w:ascii="Calibri" w:eastAsia="Calibri" w:hAnsi="Calibri" w:cs="Calibri"/>
        </w:rPr>
        <w:t>Aquellos procesos y funciones de los ecosistemas que son percibidos por el humano como un beneficio (de tipo ecológico, cultural o económico) directo o indirecto. Incluyen aquellos de aprovisionamiento, como comida y agua; servicios de regulación, como la regulación de las inundaciones, sequías, degradación del terreno y enfermedades; servicios de sustento como la formación del sustrato y el reciclaje de los nutrientes; y servicios culturales, ya sean recreacionales, espirituales, religiosos u otros beneficios no materiales. (Extraído de PNGIBSE).</w:t>
      </w:r>
    </w:p>
    <w:p w14:paraId="2E54C391" w14:textId="36DF3CB0" w:rsidR="49FD5345" w:rsidRPr="00FC5B6A" w:rsidRDefault="49FD5345" w:rsidP="0A141EBB">
      <w:pPr>
        <w:spacing w:line="257" w:lineRule="auto"/>
        <w:jc w:val="both"/>
        <w:rPr>
          <w:rFonts w:ascii="Calibri" w:eastAsia="Calibri" w:hAnsi="Calibri" w:cs="Calibri"/>
        </w:rPr>
      </w:pPr>
      <w:r w:rsidRPr="00FC5B6A">
        <w:rPr>
          <w:rFonts w:ascii="Calibri" w:eastAsia="Calibri" w:hAnsi="Calibri" w:cs="Calibri"/>
          <w:b/>
          <w:bCs/>
        </w:rPr>
        <w:lastRenderedPageBreak/>
        <w:t>Seguridad alimentaria:</w:t>
      </w:r>
      <w:r w:rsidRPr="00FC5B6A">
        <w:rPr>
          <w:rFonts w:ascii="Calibri" w:eastAsia="Calibri" w:hAnsi="Calibri" w:cs="Calibri"/>
        </w:rPr>
        <w:t xml:space="preserve"> </w:t>
      </w:r>
      <w:r w:rsidR="314A18B3" w:rsidRPr="00FC5B6A">
        <w:rPr>
          <w:rFonts w:ascii="Calibri" w:eastAsia="Calibri" w:hAnsi="Calibri" w:cs="Calibri"/>
        </w:rPr>
        <w:t>la disponibilidad suficiente y estable de alimentos, el acceso y el consumo oportuno y permanente de los mismos en cantidad, calidad e inocuidad por parte de todas las personas, bajo condiciones que permitan su adecuada utilización biológica, para llevar una vida saludable y activa. (Política Nacional de Seguridad Alimentaria y Nutricional (CONPES 113 de 2008))</w:t>
      </w:r>
    </w:p>
    <w:p w14:paraId="4F782560" w14:textId="5F02E925" w:rsidR="314A18B3" w:rsidRPr="00FC5B6A" w:rsidRDefault="314A18B3" w:rsidP="0A141EBB">
      <w:pPr>
        <w:spacing w:line="257" w:lineRule="auto"/>
        <w:jc w:val="both"/>
        <w:rPr>
          <w:rFonts w:ascii="Calibri" w:eastAsia="Calibri" w:hAnsi="Calibri" w:cs="Calibri"/>
        </w:rPr>
      </w:pPr>
      <w:r w:rsidRPr="00FC5B6A">
        <w:rPr>
          <w:rFonts w:ascii="Calibri" w:eastAsia="Calibri" w:hAnsi="Calibri" w:cs="Calibri"/>
          <w:b/>
          <w:bCs/>
        </w:rPr>
        <w:t>Soberanía alimentaria:</w:t>
      </w:r>
      <w:r w:rsidRPr="00FC5B6A">
        <w:rPr>
          <w:rFonts w:ascii="Calibri" w:eastAsia="Calibri" w:hAnsi="Calibri" w:cs="Calibri"/>
        </w:rPr>
        <w:t xml:space="preserve"> El derecho de los pueblos y comunidades a decidir sus propios sistemas de producción, distribución y consumo de alimentos, en armonía con su cultura, sus territorios y sus prácticas tradicionales, garantizando la autosuficiencia alimentaria y la protección de los productores campesinos, familiares y comunitarios. (Sentencia T-606 de 2015)</w:t>
      </w:r>
    </w:p>
    <w:p w14:paraId="0F0C357D" w14:textId="3FBFDF10" w:rsidR="08C22EB9" w:rsidRPr="00FC5B6A" w:rsidRDefault="08C22EB9" w:rsidP="30211074">
      <w:pPr>
        <w:spacing w:line="257" w:lineRule="auto"/>
        <w:jc w:val="both"/>
      </w:pPr>
      <w:r w:rsidRPr="00FC5B6A">
        <w:rPr>
          <w:rFonts w:ascii="Calibri" w:eastAsia="Calibri" w:hAnsi="Calibri" w:cs="Calibri"/>
          <w:b/>
          <w:bCs/>
          <w:i/>
          <w:iCs/>
        </w:rPr>
        <w:t>Sistema Nacional de Áreas Protegidas (SINAP</w:t>
      </w:r>
      <w:r w:rsidRPr="00FC5B6A">
        <w:rPr>
          <w:rFonts w:ascii="Calibri" w:eastAsia="Calibri" w:hAnsi="Calibri" w:cs="Calibri"/>
          <w:i/>
          <w:iCs/>
        </w:rPr>
        <w:t>)</w:t>
      </w:r>
      <w:r w:rsidRPr="00FC5B6A">
        <w:rPr>
          <w:rFonts w:ascii="Calibri" w:eastAsia="Calibri" w:hAnsi="Calibri" w:cs="Calibri"/>
        </w:rPr>
        <w:t>: El Sistema Nacional de Áreas Protegidas es el conjunto de las áreas protegidas, los actores sociales e institucionales y las estrategias e instrumentos de gestión que las articulan, que contribuyen como un todo al cumplimiento de los objetivos generales de conservación del país. (Extraído del Artículo 2.2.2.1.1.3. Decreto 1071 de 2015)</w:t>
      </w:r>
    </w:p>
    <w:p w14:paraId="01C228F4" w14:textId="05A1A0F8" w:rsidR="08C22EB9" w:rsidRPr="00FC5B6A" w:rsidRDefault="08C22EB9" w:rsidP="30211074">
      <w:pPr>
        <w:spacing w:line="257" w:lineRule="auto"/>
        <w:jc w:val="both"/>
      </w:pPr>
      <w:r w:rsidRPr="00FC5B6A">
        <w:rPr>
          <w:rFonts w:ascii="Calibri" w:eastAsia="Calibri" w:hAnsi="Calibri" w:cs="Calibri"/>
          <w:b/>
          <w:bCs/>
          <w:i/>
          <w:iCs/>
        </w:rPr>
        <w:t>Vivienda Rural Dispersa</w:t>
      </w:r>
      <w:r w:rsidRPr="00FC5B6A">
        <w:rPr>
          <w:rFonts w:ascii="Calibri" w:eastAsia="Calibri" w:hAnsi="Calibri" w:cs="Calibri"/>
        </w:rPr>
        <w:t>. Es la unidad habitacional localizada en el suelo rural de manera aislada que se encuentra asociada a las formas de vida del campo y no hace parte de centros poblados rurales ni de parcelaciones destinadas a vivienda campestre. (Extraído del artículo 2.2.1.1 Decreto 1077 de 2015)</w:t>
      </w:r>
    </w:p>
    <w:p w14:paraId="0255305D" w14:textId="192D124A" w:rsidR="30211074" w:rsidRPr="00FC5B6A" w:rsidRDefault="00F20706">
      <w:r w:rsidRPr="00FC5B6A">
        <w:br w:type="page"/>
      </w:r>
    </w:p>
    <w:p w14:paraId="42E34688" w14:textId="1A703A84" w:rsidR="4115A800" w:rsidRPr="00FC5B6A" w:rsidRDefault="5F1858A1" w:rsidP="660E8D87">
      <w:pPr>
        <w:pStyle w:val="Ttulo1"/>
        <w:rPr>
          <w:rFonts w:asciiTheme="minorHAnsi" w:hAnsiTheme="minorHAnsi" w:cstheme="minorBidi"/>
        </w:rPr>
      </w:pPr>
      <w:bookmarkStart w:id="9" w:name="_Toc186104574"/>
      <w:bookmarkStart w:id="10" w:name="_Toc224921350"/>
      <w:r w:rsidRPr="00FC5B6A">
        <w:rPr>
          <w:rFonts w:asciiTheme="minorHAnsi" w:hAnsiTheme="minorHAnsi" w:cstheme="minorBidi"/>
        </w:rPr>
        <w:lastRenderedPageBreak/>
        <w:t>Normativa</w:t>
      </w:r>
      <w:bookmarkEnd w:id="9"/>
      <w:bookmarkEnd w:id="10"/>
    </w:p>
    <w:p w14:paraId="5E819F43" w14:textId="2DC7A7DB" w:rsidR="007B766A" w:rsidRPr="00FC5B6A" w:rsidRDefault="007B766A" w:rsidP="007B766A"/>
    <w:tbl>
      <w:tblPr>
        <w:tblStyle w:val="Tablaconcuadrcula"/>
        <w:tblW w:w="0" w:type="auto"/>
        <w:tblLook w:val="04A0" w:firstRow="1" w:lastRow="0" w:firstColumn="1" w:lastColumn="0" w:noHBand="0" w:noVBand="1"/>
      </w:tblPr>
      <w:tblGrid>
        <w:gridCol w:w="2122"/>
        <w:gridCol w:w="6706"/>
      </w:tblGrid>
      <w:tr w:rsidR="007B766A" w:rsidRPr="00FC5B6A" w14:paraId="256F540B" w14:textId="77777777" w:rsidTr="0983F672">
        <w:tc>
          <w:tcPr>
            <w:tcW w:w="2122" w:type="dxa"/>
          </w:tcPr>
          <w:p w14:paraId="7D056950" w14:textId="6551924E" w:rsidR="007B766A" w:rsidRPr="00FC5B6A" w:rsidRDefault="007B766A" w:rsidP="00883282">
            <w:pPr>
              <w:jc w:val="center"/>
              <w:rPr>
                <w:rFonts w:cstheme="minorHAnsi"/>
                <w:b/>
                <w:bCs/>
              </w:rPr>
            </w:pPr>
            <w:r w:rsidRPr="00FC5B6A">
              <w:rPr>
                <w:rFonts w:cstheme="minorHAnsi"/>
                <w:b/>
                <w:bCs/>
              </w:rPr>
              <w:t>Norma</w:t>
            </w:r>
          </w:p>
        </w:tc>
        <w:tc>
          <w:tcPr>
            <w:tcW w:w="6706" w:type="dxa"/>
          </w:tcPr>
          <w:p w14:paraId="53A6148D" w14:textId="6AD2F877" w:rsidR="007B766A" w:rsidRPr="00FC5B6A" w:rsidRDefault="007B766A" w:rsidP="007B766A">
            <w:pPr>
              <w:rPr>
                <w:rFonts w:cstheme="minorHAnsi"/>
                <w:b/>
                <w:bCs/>
              </w:rPr>
            </w:pPr>
            <w:r w:rsidRPr="00FC5B6A">
              <w:rPr>
                <w:rFonts w:cstheme="minorHAnsi"/>
                <w:b/>
                <w:bCs/>
              </w:rPr>
              <w:t>Articulado</w:t>
            </w:r>
          </w:p>
        </w:tc>
      </w:tr>
      <w:tr w:rsidR="00A73037" w:rsidRPr="00FC5B6A" w14:paraId="5045AFB0" w14:textId="77777777" w:rsidTr="0983F672">
        <w:tc>
          <w:tcPr>
            <w:tcW w:w="2122" w:type="dxa"/>
          </w:tcPr>
          <w:p w14:paraId="4DE3721C" w14:textId="393B2153" w:rsidR="00A73037" w:rsidRPr="00FC5B6A" w:rsidRDefault="00A73037" w:rsidP="00883282">
            <w:pPr>
              <w:jc w:val="center"/>
              <w:rPr>
                <w:rFonts w:eastAsia="Calibri" w:cstheme="minorHAnsi"/>
                <w:b/>
                <w:bCs/>
                <w:color w:val="000000" w:themeColor="text1"/>
              </w:rPr>
            </w:pPr>
            <w:r w:rsidRPr="00FC5B6A">
              <w:rPr>
                <w:rFonts w:eastAsia="Calibri" w:cstheme="minorHAnsi"/>
                <w:b/>
                <w:bCs/>
                <w:color w:val="000000" w:themeColor="text1"/>
              </w:rPr>
              <w:t>Ley 2</w:t>
            </w:r>
            <w:r w:rsidR="00BE1483" w:rsidRPr="00FC5B6A">
              <w:rPr>
                <w:rFonts w:eastAsia="Calibri" w:cstheme="minorHAnsi"/>
                <w:b/>
                <w:bCs/>
                <w:color w:val="000000" w:themeColor="text1"/>
              </w:rPr>
              <w:t>ª.</w:t>
            </w:r>
            <w:r w:rsidRPr="00FC5B6A">
              <w:rPr>
                <w:rFonts w:eastAsia="Calibri" w:cstheme="minorHAnsi"/>
                <w:b/>
                <w:bCs/>
                <w:color w:val="000000" w:themeColor="text1"/>
              </w:rPr>
              <w:t xml:space="preserve"> de 1959</w:t>
            </w:r>
          </w:p>
          <w:p w14:paraId="3AF7F646" w14:textId="299D71AB" w:rsidR="00A73037" w:rsidRPr="00FC5B6A" w:rsidRDefault="00A73037" w:rsidP="00883282">
            <w:pPr>
              <w:jc w:val="center"/>
              <w:rPr>
                <w:rFonts w:cstheme="minorHAnsi"/>
              </w:rPr>
            </w:pPr>
            <w:r w:rsidRPr="00FC5B6A">
              <w:rPr>
                <w:rFonts w:eastAsia="Calibri" w:cstheme="minorHAnsi"/>
                <w:i/>
                <w:iCs/>
                <w:color w:val="000000" w:themeColor="text1"/>
              </w:rPr>
              <w:t>“Sobre Economía Forestal de la Nación y Conservación de Recursos Naturales Renovables”</w:t>
            </w:r>
          </w:p>
        </w:tc>
        <w:tc>
          <w:tcPr>
            <w:tcW w:w="6706" w:type="dxa"/>
          </w:tcPr>
          <w:p w14:paraId="6419434B" w14:textId="77777777" w:rsidR="00A73037" w:rsidRPr="00FC5B6A" w:rsidRDefault="00A73037" w:rsidP="00A73037">
            <w:pPr>
              <w:jc w:val="both"/>
              <w:rPr>
                <w:rFonts w:eastAsia="Calibri" w:cstheme="minorHAnsi"/>
                <w:color w:val="000000" w:themeColor="text1"/>
              </w:rPr>
            </w:pPr>
            <w:r w:rsidRPr="00FC5B6A">
              <w:rPr>
                <w:rFonts w:eastAsia="Calibri" w:cstheme="minorHAnsi"/>
                <w:color w:val="000000" w:themeColor="text1"/>
              </w:rPr>
              <w:t>Esta Ley se promulgo “</w:t>
            </w:r>
            <w:r w:rsidRPr="00FC5B6A">
              <w:rPr>
                <w:rFonts w:eastAsia="Calibri" w:cstheme="minorHAnsi"/>
                <w:i/>
                <w:iCs/>
                <w:color w:val="000000" w:themeColor="text1"/>
              </w:rPr>
              <w:t>Para el desarrollo de la economía forestal y protección de los suelos, las aguas y la vida silvestre, se establecen con carácter de “Zonas Forestales Protectoras” y “bosques de Interés General”, según la clasificación de que trata el Decreto legislativo número 2278 de 1953, las siguientes zonas de reserva forestal…”</w:t>
            </w:r>
            <w:r w:rsidRPr="00FC5B6A">
              <w:rPr>
                <w:rFonts w:eastAsia="Calibri" w:cstheme="minorHAnsi"/>
                <w:color w:val="000000" w:themeColor="text1"/>
              </w:rPr>
              <w:t>: (Art 1)</w:t>
            </w:r>
          </w:p>
          <w:p w14:paraId="38376F6F" w14:textId="77777777" w:rsidR="00A73037" w:rsidRPr="00FC5B6A" w:rsidRDefault="00A73037" w:rsidP="00A73037">
            <w:pPr>
              <w:pStyle w:val="Prrafodelista"/>
              <w:numPr>
                <w:ilvl w:val="0"/>
                <w:numId w:val="5"/>
              </w:numPr>
              <w:rPr>
                <w:rFonts w:cstheme="minorHAnsi"/>
                <w:color w:val="000000" w:themeColor="text1"/>
                <w:sz w:val="22"/>
              </w:rPr>
            </w:pPr>
            <w:r w:rsidRPr="00FC5B6A">
              <w:rPr>
                <w:rFonts w:cstheme="minorHAnsi"/>
                <w:color w:val="000000" w:themeColor="text1"/>
                <w:sz w:val="22"/>
              </w:rPr>
              <w:t>Zona de Reserva Forestal del Pacifico</w:t>
            </w:r>
          </w:p>
          <w:p w14:paraId="41BAD156" w14:textId="77777777" w:rsidR="00A73037" w:rsidRPr="00FC5B6A" w:rsidRDefault="00A73037" w:rsidP="00A73037">
            <w:pPr>
              <w:pStyle w:val="Prrafodelista"/>
              <w:numPr>
                <w:ilvl w:val="0"/>
                <w:numId w:val="5"/>
              </w:numPr>
              <w:rPr>
                <w:rFonts w:cstheme="minorHAnsi"/>
                <w:color w:val="000000" w:themeColor="text1"/>
                <w:sz w:val="22"/>
              </w:rPr>
            </w:pPr>
            <w:r w:rsidRPr="00FC5B6A">
              <w:rPr>
                <w:rFonts w:cstheme="minorHAnsi"/>
                <w:color w:val="000000" w:themeColor="text1"/>
                <w:sz w:val="22"/>
              </w:rPr>
              <w:t>Zona de reserva forestal central</w:t>
            </w:r>
          </w:p>
          <w:p w14:paraId="36FDAC2E" w14:textId="77777777" w:rsidR="00A73037" w:rsidRPr="00FC5B6A" w:rsidRDefault="00A73037" w:rsidP="00A73037">
            <w:pPr>
              <w:pStyle w:val="Prrafodelista"/>
              <w:numPr>
                <w:ilvl w:val="0"/>
                <w:numId w:val="5"/>
              </w:numPr>
              <w:rPr>
                <w:rFonts w:cstheme="minorHAnsi"/>
                <w:color w:val="000000" w:themeColor="text1"/>
                <w:sz w:val="22"/>
              </w:rPr>
            </w:pPr>
            <w:r w:rsidRPr="00FC5B6A">
              <w:rPr>
                <w:rFonts w:cstheme="minorHAnsi"/>
                <w:color w:val="000000" w:themeColor="text1"/>
                <w:sz w:val="22"/>
              </w:rPr>
              <w:t>Zonas de Reserva Forestal del Rio Magdalena</w:t>
            </w:r>
          </w:p>
          <w:p w14:paraId="3CC335AE" w14:textId="77777777" w:rsidR="00A73037" w:rsidRPr="00FC5B6A" w:rsidRDefault="00A73037" w:rsidP="00A73037">
            <w:pPr>
              <w:pStyle w:val="Prrafodelista"/>
              <w:numPr>
                <w:ilvl w:val="0"/>
                <w:numId w:val="5"/>
              </w:numPr>
              <w:rPr>
                <w:rFonts w:cstheme="minorHAnsi"/>
                <w:color w:val="000000" w:themeColor="text1"/>
                <w:sz w:val="22"/>
              </w:rPr>
            </w:pPr>
            <w:r w:rsidRPr="00FC5B6A">
              <w:rPr>
                <w:rFonts w:cstheme="minorHAnsi"/>
                <w:color w:val="000000" w:themeColor="text1"/>
                <w:sz w:val="22"/>
              </w:rPr>
              <w:t>Zona de Reserva Forestal de la Sierra Nevada de Santa Marta</w:t>
            </w:r>
          </w:p>
          <w:p w14:paraId="27EF2D4D" w14:textId="77777777" w:rsidR="00A73037" w:rsidRPr="00FC5B6A" w:rsidRDefault="00A73037" w:rsidP="00A73037">
            <w:pPr>
              <w:pStyle w:val="Prrafodelista"/>
              <w:numPr>
                <w:ilvl w:val="0"/>
                <w:numId w:val="5"/>
              </w:numPr>
              <w:rPr>
                <w:rFonts w:cstheme="minorHAnsi"/>
                <w:color w:val="000000" w:themeColor="text1"/>
                <w:sz w:val="22"/>
              </w:rPr>
            </w:pPr>
            <w:r w:rsidRPr="00FC5B6A">
              <w:rPr>
                <w:rFonts w:cstheme="minorHAnsi"/>
                <w:color w:val="000000" w:themeColor="text1"/>
                <w:sz w:val="22"/>
              </w:rPr>
              <w:t>Zona de Reserva Forestal de la Serranía de los Motilones</w:t>
            </w:r>
          </w:p>
          <w:p w14:paraId="1DA9BBB1" w14:textId="77777777" w:rsidR="00A73037" w:rsidRPr="00FC5B6A" w:rsidRDefault="00A73037" w:rsidP="00A73037">
            <w:pPr>
              <w:pStyle w:val="Prrafodelista"/>
              <w:numPr>
                <w:ilvl w:val="0"/>
                <w:numId w:val="5"/>
              </w:numPr>
              <w:rPr>
                <w:rFonts w:cstheme="minorHAnsi"/>
                <w:color w:val="000000" w:themeColor="text1"/>
                <w:sz w:val="22"/>
              </w:rPr>
            </w:pPr>
            <w:r w:rsidRPr="00FC5B6A">
              <w:rPr>
                <w:rFonts w:cstheme="minorHAnsi"/>
                <w:color w:val="000000" w:themeColor="text1"/>
                <w:sz w:val="22"/>
              </w:rPr>
              <w:t>Zona de Reserva Forestal del Cocuy; y</w:t>
            </w:r>
          </w:p>
          <w:p w14:paraId="13922B2D" w14:textId="77777777" w:rsidR="00A73037" w:rsidRPr="00FC5B6A" w:rsidRDefault="00A73037" w:rsidP="00A73037">
            <w:pPr>
              <w:pStyle w:val="Prrafodelista"/>
              <w:numPr>
                <w:ilvl w:val="0"/>
                <w:numId w:val="5"/>
              </w:numPr>
              <w:rPr>
                <w:rFonts w:cstheme="minorHAnsi"/>
                <w:color w:val="000000" w:themeColor="text1"/>
                <w:sz w:val="22"/>
              </w:rPr>
            </w:pPr>
            <w:r w:rsidRPr="00FC5B6A">
              <w:rPr>
                <w:rFonts w:cstheme="minorHAnsi"/>
                <w:color w:val="000000" w:themeColor="text1"/>
                <w:sz w:val="22"/>
              </w:rPr>
              <w:t>Zona de Reserva Forestal de la Amazonía</w:t>
            </w:r>
          </w:p>
          <w:p w14:paraId="698F27D3" w14:textId="77777777" w:rsidR="00A73037" w:rsidRPr="00FC5B6A" w:rsidRDefault="00A73037" w:rsidP="00A73037">
            <w:pPr>
              <w:rPr>
                <w:rFonts w:eastAsia="Calibri" w:cstheme="minorHAnsi"/>
                <w:color w:val="000000" w:themeColor="text1"/>
              </w:rPr>
            </w:pPr>
            <w:r w:rsidRPr="00FC5B6A">
              <w:rPr>
                <w:rFonts w:eastAsia="Calibri" w:cstheme="minorHAnsi"/>
                <w:color w:val="000000" w:themeColor="text1"/>
              </w:rPr>
              <w:t xml:space="preserve"> </w:t>
            </w:r>
          </w:p>
          <w:p w14:paraId="33F7B89F" w14:textId="77777777" w:rsidR="00A73037" w:rsidRPr="00FC5B6A" w:rsidRDefault="00A73037" w:rsidP="00A73037">
            <w:pPr>
              <w:jc w:val="both"/>
              <w:rPr>
                <w:rFonts w:eastAsia="Calibri" w:cstheme="minorHAnsi"/>
                <w:i/>
                <w:iCs/>
                <w:color w:val="000000" w:themeColor="text1"/>
              </w:rPr>
            </w:pPr>
            <w:r w:rsidRPr="00FC5B6A">
              <w:rPr>
                <w:rFonts w:eastAsia="Calibri" w:cstheme="minorHAnsi"/>
                <w:color w:val="000000" w:themeColor="text1"/>
              </w:rPr>
              <w:t>Art 4: “</w:t>
            </w:r>
            <w:r w:rsidRPr="00FC5B6A">
              <w:rPr>
                <w:rFonts w:eastAsia="Calibri" w:cstheme="minorHAnsi"/>
                <w:i/>
                <w:iCs/>
                <w:color w:val="000000" w:themeColor="text1"/>
              </w:rPr>
              <w:t>Los bosques existentes en la zona que tratan los artículos 1° y 12 de esta Ley deberán someterse a un plano de ordenación forestal…”</w:t>
            </w:r>
          </w:p>
          <w:p w14:paraId="417285FA" w14:textId="77777777" w:rsidR="00A73037" w:rsidRPr="00FC5B6A" w:rsidRDefault="00A73037" w:rsidP="00A73037">
            <w:pPr>
              <w:jc w:val="both"/>
              <w:rPr>
                <w:rFonts w:eastAsia="Calibri" w:cstheme="minorHAnsi"/>
                <w:i/>
                <w:iCs/>
                <w:color w:val="000000" w:themeColor="text1"/>
              </w:rPr>
            </w:pPr>
            <w:r w:rsidRPr="00FC5B6A">
              <w:rPr>
                <w:rFonts w:eastAsia="Calibri" w:cstheme="minorHAnsi"/>
                <w:color w:val="000000" w:themeColor="text1"/>
              </w:rPr>
              <w:t>Art 7:</w:t>
            </w:r>
            <w:r w:rsidRPr="00FC5B6A">
              <w:rPr>
                <w:rFonts w:eastAsia="Calibri" w:cstheme="minorHAnsi"/>
                <w:i/>
                <w:iCs/>
                <w:color w:val="000000" w:themeColor="text1"/>
              </w:rPr>
              <w:t xml:space="preserve"> “La ocupación de tierras baldías estará sujeta a las reglamentaciones que dicte el Gobierno con el objeto de evitar la erosión de las tierras y proveer a la conservación de las aguas. </w:t>
            </w:r>
          </w:p>
          <w:p w14:paraId="55AFB1D2" w14:textId="60B927F6" w:rsidR="00A73037" w:rsidRPr="00FC5B6A" w:rsidRDefault="0983F672" w:rsidP="0983F672">
            <w:pPr>
              <w:jc w:val="both"/>
            </w:pPr>
            <w:r w:rsidRPr="00FC5B6A">
              <w:rPr>
                <w:rFonts w:eastAsia="Calibri"/>
                <w:i/>
                <w:iCs/>
                <w:color w:val="000000" w:themeColor="text1"/>
              </w:rPr>
              <w:t xml:space="preserve">Al dictar tal reglamentación el Gobierno podrá disponer que no serán </w:t>
            </w:r>
            <w:proofErr w:type="spellStart"/>
            <w:r w:rsidRPr="00FC5B6A">
              <w:rPr>
                <w:rFonts w:eastAsia="Calibri"/>
                <w:i/>
                <w:iCs/>
                <w:color w:val="000000" w:themeColor="text1"/>
              </w:rPr>
              <w:t>ocupables</w:t>
            </w:r>
            <w:proofErr w:type="spellEnd"/>
            <w:r w:rsidRPr="00FC5B6A">
              <w:rPr>
                <w:rFonts w:eastAsia="Calibri"/>
                <w:i/>
                <w:iCs/>
                <w:color w:val="000000" w:themeColor="text1"/>
              </w:rPr>
              <w:t xml:space="preserve"> ni susceptibles de adjudicación aquellas porciones de terreno donde la conservación de los bosques sea necesaria para los fines arriba indicados; pero podrá también contemplar la posibilidad de comprender en las adjudicaciones bosques que deban mantenerse para los mismos </w:t>
            </w:r>
            <w:proofErr w:type="gramStart"/>
            <w:r w:rsidRPr="00FC5B6A">
              <w:rPr>
                <w:rFonts w:eastAsia="Calibri"/>
                <w:i/>
                <w:iCs/>
                <w:color w:val="000000" w:themeColor="text1"/>
              </w:rPr>
              <w:t>fines,..</w:t>
            </w:r>
            <w:proofErr w:type="gramEnd"/>
            <w:r w:rsidRPr="00FC5B6A">
              <w:rPr>
                <w:rFonts w:eastAsia="Calibri"/>
                <w:i/>
                <w:iCs/>
                <w:color w:val="000000" w:themeColor="text1"/>
              </w:rPr>
              <w:t>”</w:t>
            </w:r>
          </w:p>
        </w:tc>
      </w:tr>
      <w:tr w:rsidR="00A73037" w:rsidRPr="00FC5B6A" w14:paraId="58EF5C0E" w14:textId="77777777" w:rsidTr="0983F672">
        <w:tc>
          <w:tcPr>
            <w:tcW w:w="2122" w:type="dxa"/>
          </w:tcPr>
          <w:p w14:paraId="24F8F50F" w14:textId="77777777" w:rsidR="00A73037" w:rsidRPr="00FC5B6A" w:rsidRDefault="00A73037" w:rsidP="00883282">
            <w:pPr>
              <w:jc w:val="center"/>
              <w:rPr>
                <w:rFonts w:eastAsia="Calibri" w:cstheme="minorHAnsi"/>
                <w:b/>
                <w:bCs/>
                <w:color w:val="000000" w:themeColor="text1"/>
              </w:rPr>
            </w:pPr>
            <w:r w:rsidRPr="00FC5B6A">
              <w:rPr>
                <w:rFonts w:eastAsia="Calibri" w:cstheme="minorHAnsi"/>
                <w:b/>
                <w:bCs/>
                <w:color w:val="000000" w:themeColor="text1"/>
              </w:rPr>
              <w:t>Decreto 111 de 1959</w:t>
            </w:r>
          </w:p>
          <w:p w14:paraId="1C71CA15" w14:textId="7DDE09A7" w:rsidR="00A73037" w:rsidRPr="00FC5B6A" w:rsidRDefault="00A73037" w:rsidP="00883282">
            <w:pPr>
              <w:jc w:val="center"/>
              <w:rPr>
                <w:rFonts w:cstheme="minorHAnsi"/>
              </w:rPr>
            </w:pPr>
            <w:r w:rsidRPr="00FC5B6A">
              <w:rPr>
                <w:rFonts w:eastAsia="Calibri" w:cstheme="minorHAnsi"/>
                <w:color w:val="000000" w:themeColor="text1"/>
              </w:rPr>
              <w:t>“Por el cual se establece una reserva forestal”</w:t>
            </w:r>
          </w:p>
        </w:tc>
        <w:tc>
          <w:tcPr>
            <w:tcW w:w="6706" w:type="dxa"/>
          </w:tcPr>
          <w:p w14:paraId="021C92CB" w14:textId="77777777" w:rsidR="00A73037" w:rsidRPr="00FC5B6A" w:rsidRDefault="00A73037" w:rsidP="00A73037">
            <w:pPr>
              <w:jc w:val="both"/>
              <w:rPr>
                <w:rFonts w:eastAsia="Calibri" w:cstheme="minorHAnsi"/>
                <w:i/>
                <w:iCs/>
                <w:color w:val="000000" w:themeColor="text1"/>
              </w:rPr>
            </w:pPr>
            <w:r w:rsidRPr="00FC5B6A">
              <w:rPr>
                <w:rFonts w:eastAsia="Calibri" w:cstheme="minorHAnsi"/>
                <w:i/>
                <w:iCs/>
                <w:color w:val="000000" w:themeColor="text1"/>
              </w:rPr>
              <w:t xml:space="preserve">“Reservase, con destino a ser localizados y beneficiados, de acuerdo con los programas que elabore el Gobierno en desarrollo de la Ley 2 de 1959, los terrenos comprendidos dentro de los siguientes linderos: </w:t>
            </w:r>
          </w:p>
          <w:p w14:paraId="1D383237" w14:textId="77777777" w:rsidR="00A73037" w:rsidRPr="00FC5B6A" w:rsidRDefault="00A73037" w:rsidP="00A73037">
            <w:pPr>
              <w:jc w:val="both"/>
              <w:rPr>
                <w:rFonts w:eastAsia="Calibri" w:cstheme="minorHAnsi"/>
                <w:i/>
                <w:iCs/>
                <w:color w:val="000000" w:themeColor="text1"/>
              </w:rPr>
            </w:pPr>
            <w:r w:rsidRPr="00FC5B6A">
              <w:rPr>
                <w:rFonts w:eastAsia="Calibri" w:cstheme="minorHAnsi"/>
                <w:i/>
                <w:iCs/>
                <w:color w:val="000000" w:themeColor="text1"/>
              </w:rPr>
              <w:t xml:space="preserve">  </w:t>
            </w:r>
          </w:p>
          <w:p w14:paraId="5462449F" w14:textId="0FEB31DE" w:rsidR="00A73037" w:rsidRPr="00FC5B6A" w:rsidRDefault="0983F672" w:rsidP="0983F672">
            <w:pPr>
              <w:jc w:val="both"/>
            </w:pPr>
            <w:r w:rsidRPr="00FC5B6A">
              <w:rPr>
                <w:rFonts w:eastAsia="Calibri"/>
                <w:i/>
                <w:iCs/>
                <w:color w:val="000000" w:themeColor="text1"/>
              </w:rPr>
              <w:t xml:space="preserve">Partiendo de la confluencia del Río Negro con el Río Magdalena, aguas arriba hasta encontrar la desembocadura del </w:t>
            </w:r>
            <w:proofErr w:type="spellStart"/>
            <w:r w:rsidRPr="00FC5B6A">
              <w:rPr>
                <w:rFonts w:eastAsia="Calibri"/>
                <w:i/>
                <w:iCs/>
                <w:color w:val="000000" w:themeColor="text1"/>
              </w:rPr>
              <w:t>Purnó</w:t>
            </w:r>
            <w:proofErr w:type="spellEnd"/>
            <w:r w:rsidRPr="00FC5B6A">
              <w:rPr>
                <w:rFonts w:eastAsia="Calibri"/>
                <w:i/>
                <w:iCs/>
                <w:color w:val="000000" w:themeColor="text1"/>
              </w:rPr>
              <w:t xml:space="preserve"> en la misma corriente; de aquí se sigue en línea recta con azimut de 286’ 10’’, hasta encontrar el cauce del Río </w:t>
            </w:r>
            <w:proofErr w:type="spellStart"/>
            <w:r w:rsidRPr="00FC5B6A">
              <w:rPr>
                <w:rFonts w:eastAsia="Calibri"/>
                <w:i/>
                <w:iCs/>
                <w:color w:val="000000" w:themeColor="text1"/>
              </w:rPr>
              <w:t>Pontoná</w:t>
            </w:r>
            <w:proofErr w:type="spellEnd"/>
            <w:r w:rsidRPr="00FC5B6A">
              <w:rPr>
                <w:rFonts w:eastAsia="Calibri"/>
                <w:i/>
                <w:iCs/>
                <w:color w:val="000000" w:themeColor="text1"/>
              </w:rPr>
              <w:t xml:space="preserve">; de ese punto se continúa en línea recta con azimut de 6’ 10’’, hasta el punto por donde pasa el Río La Miel; de aquí se sigue en línea recta con azimut de 337' 22'', hasta la desembocadura de la Quebrada Mulato sobre el Río Samaná Sur; de este sitio se traza una línea recta con azimut de 340’, hasta llegar a la desembocadura del Río Santo Domingo en el Río Samaná Norte; de aquí en línea recta, con azimut Norte o’ o’’ pasando por los Ríos Guatapé, Nare, por la población de Yolombó y siguiendo el mismo rumbo para atravesar el Río San Bartolomé y hasta encontrar el Río Porce; éste aguas abajo hasta la desembocadura del Río Nechí; Nechí aguas abajo hasta su confluencia con el Río Cauca; siguiendo este río aguas abajo hasta encontrar el Brazo de La Loba, y </w:t>
            </w:r>
            <w:r w:rsidRPr="00FC5B6A">
              <w:rPr>
                <w:rFonts w:eastAsia="Calibri"/>
                <w:i/>
                <w:iCs/>
                <w:color w:val="000000" w:themeColor="text1"/>
              </w:rPr>
              <w:lastRenderedPageBreak/>
              <w:t xml:space="preserve">siguiendo su curso hasta la población de El Banco; de este último punto, siguiendo por el Caño que une el Río Magdalena con la Ciénaga de </w:t>
            </w:r>
            <w:proofErr w:type="spellStart"/>
            <w:r w:rsidRPr="00FC5B6A">
              <w:rPr>
                <w:rFonts w:eastAsia="Calibri"/>
                <w:i/>
                <w:iCs/>
                <w:color w:val="000000" w:themeColor="text1"/>
              </w:rPr>
              <w:t>Zapatosa</w:t>
            </w:r>
            <w:proofErr w:type="spellEnd"/>
            <w:r w:rsidRPr="00FC5B6A">
              <w:rPr>
                <w:rFonts w:eastAsia="Calibri"/>
                <w:i/>
                <w:iCs/>
                <w:color w:val="000000" w:themeColor="text1"/>
              </w:rPr>
              <w:t xml:space="preserve">, se sigue por el margen occidental de la misma hasta encontrar la desembocadura del Río Ariguaní en la nombrada Ciénaga; aguas arriba hasta su confluencia con el Río </w:t>
            </w:r>
            <w:proofErr w:type="spellStart"/>
            <w:r w:rsidRPr="00FC5B6A">
              <w:rPr>
                <w:rFonts w:eastAsia="Calibri"/>
                <w:i/>
                <w:iCs/>
                <w:color w:val="000000" w:themeColor="text1"/>
              </w:rPr>
              <w:t>Ariguanicito</w:t>
            </w:r>
            <w:proofErr w:type="spellEnd"/>
            <w:r w:rsidRPr="00FC5B6A">
              <w:rPr>
                <w:rFonts w:eastAsia="Calibri"/>
                <w:i/>
                <w:iCs/>
                <w:color w:val="000000" w:themeColor="text1"/>
              </w:rPr>
              <w:t>; de aquí se traza una línea recta con azimut de 332’ hasta encontrar el Río Fundación, en el Municipio de su mismo nombre; de éste aguas arriba hasta encontrar el límite de la Reserva Forestal de la Sierra Nevada de Santa Marta por su longitud de 74’, se baja por este límite hasta la latitud 10’ 15’’ Norte; se sigue al Este hasta encontrar el límite de la Zona de Reserva Forestal de la Serranía de los Motilones; de aquí al Sur siguiendo la línea límite de la mencionada Reserva hasta encontrar el límite del Departamento del Magdalena; por éste hacia el Sur, hasta encontrar el límite de la Zona de Reserva Forestal del Río Magdalena a la altura de la población de Aguachica; se sigue el límite de la mencionada Zona hasta la población de Gamarra; siguiendo la margen occidental de la mencionada Zona hasta encontrar la confluencia del Río Negro con el Río Magdalena, punto de partida.”</w:t>
            </w:r>
          </w:p>
        </w:tc>
      </w:tr>
      <w:tr w:rsidR="00A73037" w:rsidRPr="00FC5B6A" w14:paraId="4CF944AD" w14:textId="77777777" w:rsidTr="0983F672">
        <w:tc>
          <w:tcPr>
            <w:tcW w:w="2122" w:type="dxa"/>
          </w:tcPr>
          <w:p w14:paraId="0939D5F3" w14:textId="77777777" w:rsidR="00A73037" w:rsidRPr="00FC5B6A" w:rsidRDefault="00A73037" w:rsidP="00883282">
            <w:pPr>
              <w:jc w:val="center"/>
              <w:rPr>
                <w:rFonts w:eastAsia="Calibri" w:cstheme="minorHAnsi"/>
                <w:b/>
                <w:bCs/>
                <w:color w:val="000000" w:themeColor="text1"/>
              </w:rPr>
            </w:pPr>
            <w:r w:rsidRPr="00FC5B6A">
              <w:rPr>
                <w:rFonts w:eastAsia="Calibri" w:cstheme="minorHAnsi"/>
                <w:b/>
                <w:bCs/>
                <w:color w:val="000000" w:themeColor="text1"/>
              </w:rPr>
              <w:lastRenderedPageBreak/>
              <w:t>Decreto 2278 de 1953</w:t>
            </w:r>
          </w:p>
          <w:p w14:paraId="71AB6C2F" w14:textId="0AD185F3" w:rsidR="00A73037" w:rsidRPr="00FC5B6A" w:rsidRDefault="00A73037" w:rsidP="00883282">
            <w:pPr>
              <w:jc w:val="center"/>
              <w:rPr>
                <w:rFonts w:cstheme="minorHAnsi"/>
              </w:rPr>
            </w:pPr>
            <w:r w:rsidRPr="00FC5B6A">
              <w:rPr>
                <w:rFonts w:eastAsia="Calibri" w:cstheme="minorHAnsi"/>
                <w:i/>
                <w:iCs/>
                <w:color w:val="000000" w:themeColor="text1"/>
              </w:rPr>
              <w:t>“Por el cual se dictan medidas sobre cuestiones forestales”</w:t>
            </w:r>
          </w:p>
        </w:tc>
        <w:tc>
          <w:tcPr>
            <w:tcW w:w="6706" w:type="dxa"/>
          </w:tcPr>
          <w:p w14:paraId="3292EB64" w14:textId="77777777" w:rsidR="00A73037" w:rsidRPr="00FC5B6A" w:rsidRDefault="00A73037" w:rsidP="00A73037">
            <w:pPr>
              <w:jc w:val="both"/>
              <w:rPr>
                <w:rFonts w:eastAsia="Calibri" w:cstheme="minorHAnsi"/>
                <w:color w:val="000000" w:themeColor="text1"/>
              </w:rPr>
            </w:pPr>
            <w:r w:rsidRPr="00FC5B6A">
              <w:rPr>
                <w:rFonts w:eastAsia="Calibri" w:cstheme="minorHAnsi"/>
                <w:color w:val="000000" w:themeColor="text1"/>
              </w:rPr>
              <w:t>Establece la clasificación de los bosques del país en y la constitución de zonas forestales, entre otros temas:</w:t>
            </w:r>
          </w:p>
          <w:p w14:paraId="495D2AE7" w14:textId="77777777" w:rsidR="00A73037" w:rsidRPr="00FC5B6A" w:rsidRDefault="00A73037" w:rsidP="00A73037">
            <w:pPr>
              <w:jc w:val="both"/>
              <w:rPr>
                <w:rFonts w:eastAsia="Calibri" w:cstheme="minorHAnsi"/>
                <w:color w:val="000000" w:themeColor="text1"/>
              </w:rPr>
            </w:pPr>
            <w:r w:rsidRPr="00FC5B6A">
              <w:rPr>
                <w:rFonts w:eastAsia="Calibri" w:cstheme="minorHAnsi"/>
                <w:color w:val="000000" w:themeColor="text1"/>
              </w:rPr>
              <w:t xml:space="preserve">a) Bosques protectores;   </w:t>
            </w:r>
          </w:p>
          <w:p w14:paraId="1643B603" w14:textId="77777777" w:rsidR="00A73037" w:rsidRPr="00FC5B6A" w:rsidRDefault="00A73037" w:rsidP="00A73037">
            <w:pPr>
              <w:jc w:val="both"/>
              <w:rPr>
                <w:rFonts w:eastAsia="Calibri" w:cstheme="minorHAnsi"/>
                <w:color w:val="000000" w:themeColor="text1"/>
              </w:rPr>
            </w:pPr>
            <w:r w:rsidRPr="00FC5B6A">
              <w:rPr>
                <w:rFonts w:eastAsia="Calibri" w:cstheme="minorHAnsi"/>
                <w:color w:val="000000" w:themeColor="text1"/>
              </w:rPr>
              <w:t xml:space="preserve">b) Bosques públicos;   </w:t>
            </w:r>
          </w:p>
          <w:p w14:paraId="3EAA5F9D" w14:textId="77777777" w:rsidR="00A73037" w:rsidRPr="00FC5B6A" w:rsidRDefault="00A73037" w:rsidP="00A73037">
            <w:pPr>
              <w:jc w:val="both"/>
              <w:rPr>
                <w:rFonts w:eastAsia="Calibri" w:cstheme="minorHAnsi"/>
                <w:color w:val="000000" w:themeColor="text1"/>
              </w:rPr>
            </w:pPr>
            <w:r w:rsidRPr="00FC5B6A">
              <w:rPr>
                <w:rFonts w:eastAsia="Calibri" w:cstheme="minorHAnsi"/>
                <w:color w:val="000000" w:themeColor="text1"/>
              </w:rPr>
              <w:t xml:space="preserve">c) Bosques de interés general;   </w:t>
            </w:r>
          </w:p>
          <w:p w14:paraId="2922F1AA" w14:textId="77777777" w:rsidR="00A73037" w:rsidRPr="00FC5B6A" w:rsidRDefault="00A73037" w:rsidP="00A73037">
            <w:pPr>
              <w:jc w:val="both"/>
              <w:rPr>
                <w:rFonts w:eastAsia="Calibri" w:cstheme="minorHAnsi"/>
                <w:color w:val="000000" w:themeColor="text1"/>
              </w:rPr>
            </w:pPr>
            <w:r w:rsidRPr="00FC5B6A">
              <w:rPr>
                <w:rFonts w:eastAsia="Calibri" w:cstheme="minorHAnsi"/>
                <w:color w:val="000000" w:themeColor="text1"/>
              </w:rPr>
              <w:t xml:space="preserve">d) Bosques de propiedad privada. </w:t>
            </w:r>
          </w:p>
          <w:p w14:paraId="3C9DC240" w14:textId="77777777" w:rsidR="00A73037" w:rsidRPr="00FC5B6A" w:rsidRDefault="00A73037" w:rsidP="00A73037">
            <w:pPr>
              <w:jc w:val="both"/>
              <w:rPr>
                <w:rFonts w:eastAsia="Calibri" w:cstheme="minorHAnsi"/>
                <w:color w:val="000000" w:themeColor="text1"/>
              </w:rPr>
            </w:pPr>
            <w:r w:rsidRPr="00FC5B6A">
              <w:rPr>
                <w:rFonts w:eastAsia="Calibri" w:cstheme="minorHAnsi"/>
                <w:color w:val="000000" w:themeColor="text1"/>
              </w:rPr>
              <w:t xml:space="preserve"> </w:t>
            </w:r>
          </w:p>
          <w:p w14:paraId="586244E1" w14:textId="0B31F3A2" w:rsidR="00A73037" w:rsidRPr="00FC5B6A" w:rsidRDefault="0983F672" w:rsidP="0983F672">
            <w:pPr>
              <w:jc w:val="both"/>
            </w:pPr>
            <w:r w:rsidRPr="00FC5B6A">
              <w:rPr>
                <w:rFonts w:eastAsia="Calibri"/>
                <w:i/>
                <w:iCs/>
                <w:color w:val="000000" w:themeColor="text1"/>
              </w:rPr>
              <w:t>Constituyen “Zona Forestal Protectora” los terrenos situados en las cabeceras de las cuencas de los ríos, arroyos y quebradas, sean o no permanentes; las márgenes y laderas con pendiente superior al cuarenta por ciento (40%); la zona de cincuenta (50) metros de ancho a cada lado de los manantiales, corrientes y cualesquiera depósitos naturales de aguas, y todos aquellos en que, a juicio del Ministerio de Agricultura, convenga mantener el bosque, o crearlo si ha desaparecido, con el fin de defender cuencas de abastecimiento de aguas, embalses, acequias, evitar desprendimientos de tierras y rocas, sujetar terrenos, defender vías de comunicación, regularizar cursos de aguas, o contribuir a la salubridad.</w:t>
            </w:r>
          </w:p>
        </w:tc>
      </w:tr>
      <w:tr w:rsidR="00A73037" w:rsidRPr="00FC5B6A" w14:paraId="36CF750F" w14:textId="77777777" w:rsidTr="0983F672">
        <w:tc>
          <w:tcPr>
            <w:tcW w:w="2122" w:type="dxa"/>
          </w:tcPr>
          <w:p w14:paraId="11CC91FE" w14:textId="7ED39A38" w:rsidR="00A73037" w:rsidRPr="00FC5B6A" w:rsidRDefault="00A5629D" w:rsidP="00883282">
            <w:pPr>
              <w:jc w:val="center"/>
              <w:rPr>
                <w:rFonts w:cstheme="minorHAnsi"/>
              </w:rPr>
            </w:pPr>
            <w:r w:rsidRPr="00FC5B6A">
              <w:rPr>
                <w:rFonts w:cstheme="minorHAnsi"/>
                <w:b/>
                <w:bCs/>
              </w:rPr>
              <w:t>Decreto Ley 2811 de 1974,</w:t>
            </w:r>
            <w:r w:rsidRPr="00FC5B6A">
              <w:rPr>
                <w:rFonts w:cstheme="minorHAnsi"/>
              </w:rPr>
              <w:t xml:space="preserve"> Código de Recursos Naturales Renovables</w:t>
            </w:r>
          </w:p>
        </w:tc>
        <w:tc>
          <w:tcPr>
            <w:tcW w:w="6706" w:type="dxa"/>
          </w:tcPr>
          <w:p w14:paraId="58881501" w14:textId="77777777" w:rsidR="00A73037" w:rsidRPr="00FC5B6A" w:rsidRDefault="0983F672" w:rsidP="0983F672">
            <w:pPr>
              <w:jc w:val="both"/>
              <w:rPr>
                <w:i/>
                <w:iCs/>
              </w:rPr>
            </w:pPr>
            <w:r w:rsidRPr="00FC5B6A">
              <w:t xml:space="preserve">Artículos 206 y 207: </w:t>
            </w:r>
            <w:r w:rsidRPr="00FC5B6A">
              <w:rPr>
                <w:i/>
                <w:iCs/>
              </w:rPr>
              <w:t>“se denomina área de reserva forestal la zona de propiedad pública o privada reservada para destinarla exclusivamente al establecimiento o mantenimiento y utilización racional de áreas forestales, las cuales solo podrán destinarse al aprovechamiento racional permanente de los bosques que en ella existan o se establezcan, garantizando la recuperación y supervivencia de estos.”</w:t>
            </w:r>
          </w:p>
          <w:p w14:paraId="05FB4D77" w14:textId="77777777" w:rsidR="00A5629D" w:rsidRPr="00FC5B6A" w:rsidRDefault="00A5629D" w:rsidP="00A73037">
            <w:pPr>
              <w:rPr>
                <w:rFonts w:cstheme="minorHAnsi"/>
                <w:i/>
                <w:iCs/>
              </w:rPr>
            </w:pPr>
          </w:p>
          <w:p w14:paraId="3CED7DDE" w14:textId="6F46A379" w:rsidR="00A5629D" w:rsidRPr="00FC5B6A" w:rsidRDefault="00A5629D" w:rsidP="00A5629D">
            <w:pPr>
              <w:rPr>
                <w:rFonts w:cstheme="minorHAnsi"/>
              </w:rPr>
            </w:pPr>
            <w:r w:rsidRPr="00FC5B6A">
              <w:rPr>
                <w:rFonts w:cstheme="minorHAnsi"/>
              </w:rPr>
              <w:t>El artículo 209 del mencionado Código, no podrán ser adjudicados los baldíos de las áreas de reserva forestal.</w:t>
            </w:r>
          </w:p>
          <w:p w14:paraId="7E0279B2" w14:textId="77777777" w:rsidR="00A5629D" w:rsidRPr="00FC5B6A" w:rsidRDefault="00A5629D" w:rsidP="00A5629D">
            <w:pPr>
              <w:rPr>
                <w:rFonts w:cstheme="minorHAnsi"/>
              </w:rPr>
            </w:pPr>
          </w:p>
          <w:p w14:paraId="70097B63" w14:textId="4003AFE1" w:rsidR="00A5629D" w:rsidRPr="00FC5B6A" w:rsidRDefault="0983F672" w:rsidP="0983F672">
            <w:pPr>
              <w:jc w:val="both"/>
            </w:pPr>
            <w:r w:rsidRPr="00FC5B6A">
              <w:t xml:space="preserve">Que, a su vez, el artículo 210 del precitado Código, establece que </w:t>
            </w:r>
            <w:r w:rsidRPr="00FC5B6A">
              <w:rPr>
                <w:i/>
                <w:iCs/>
              </w:rPr>
              <w:t xml:space="preserve">"Si en área de reserva forestal, por razones de utilidad pública o interés social, </w:t>
            </w:r>
            <w:r w:rsidRPr="00FC5B6A">
              <w:rPr>
                <w:i/>
                <w:iCs/>
              </w:rPr>
              <w:lastRenderedPageBreak/>
              <w:t>es necesario realizar actividades económicas que impliquen remoción de bosques o cambio en el uso de los suelos o cualquiera otra actividad distinta del aprovechamiento racional de los bosques, la zona afectada deberá, debidamente delimitada, ser previamente sustraída de la reserva. También se podrán sustraer de la reserva forestal los predios cuyos propietarios demuestren que sus suelos pueden ser utilizados en explotación diferente de la forestal, siempre que no se perjudique la función protectora de la reserva".</w:t>
            </w:r>
          </w:p>
        </w:tc>
      </w:tr>
      <w:tr w:rsidR="00A73037" w:rsidRPr="00FC5B6A" w14:paraId="099E11D9" w14:textId="77777777" w:rsidTr="0983F672">
        <w:tc>
          <w:tcPr>
            <w:tcW w:w="2122" w:type="dxa"/>
          </w:tcPr>
          <w:p w14:paraId="4FCA9019" w14:textId="77435D15" w:rsidR="00A73037" w:rsidRPr="00FC5B6A" w:rsidRDefault="00A5629D" w:rsidP="00883282">
            <w:pPr>
              <w:jc w:val="center"/>
              <w:rPr>
                <w:rFonts w:cstheme="minorHAnsi"/>
                <w:b/>
                <w:bCs/>
              </w:rPr>
            </w:pPr>
            <w:r w:rsidRPr="00FC5B6A">
              <w:rPr>
                <w:rFonts w:cstheme="minorHAnsi"/>
                <w:b/>
                <w:bCs/>
              </w:rPr>
              <w:lastRenderedPageBreak/>
              <w:t>Constitución Política de Colombia</w:t>
            </w:r>
          </w:p>
        </w:tc>
        <w:tc>
          <w:tcPr>
            <w:tcW w:w="6706" w:type="dxa"/>
          </w:tcPr>
          <w:p w14:paraId="1DE2D195" w14:textId="510D6628" w:rsidR="00320D4E" w:rsidRPr="00FC5B6A" w:rsidRDefault="0983F672" w:rsidP="0983F672">
            <w:pPr>
              <w:jc w:val="both"/>
              <w:rPr>
                <w:i/>
                <w:iCs/>
              </w:rPr>
            </w:pPr>
            <w:r w:rsidRPr="00FC5B6A">
              <w:rPr>
                <w:i/>
                <w:iCs/>
              </w:rPr>
              <w:t>ARTÍCULO 8. “Es obligación del Estado y de las personas proteger las riquezas culturales y naturales de la Nación”.</w:t>
            </w:r>
          </w:p>
          <w:p w14:paraId="06A09516" w14:textId="77777777" w:rsidR="00320D4E" w:rsidRPr="00FC5B6A" w:rsidRDefault="00320D4E" w:rsidP="00A73037">
            <w:pPr>
              <w:rPr>
                <w:rFonts w:cstheme="minorHAnsi"/>
                <w:i/>
                <w:iCs/>
              </w:rPr>
            </w:pPr>
          </w:p>
          <w:p w14:paraId="5EF93CB1" w14:textId="5D4D8D66" w:rsidR="00A73037" w:rsidRPr="00FC5B6A" w:rsidRDefault="0983F672" w:rsidP="0983F672">
            <w:pPr>
              <w:jc w:val="both"/>
              <w:rPr>
                <w:i/>
                <w:iCs/>
              </w:rPr>
            </w:pPr>
            <w:r w:rsidRPr="00FC5B6A">
              <w:rPr>
                <w:i/>
                <w:iCs/>
              </w:rPr>
              <w:t xml:space="preserve">Artículo 58: “se garantiza la propiedad privada y los demás derechos adquiridos con arreglo a las leyes civiles y no pueden ser vulnerados por leyes posteriores. De igual forma, se determina que la propiedad es una función social que implica obligaciones y por ello le es inherente una función ecológica, sin embargo, no se limita </w:t>
            </w:r>
            <w:proofErr w:type="gramStart"/>
            <w:r w:rsidRPr="00FC5B6A">
              <w:rPr>
                <w:i/>
                <w:iCs/>
              </w:rPr>
              <w:t>per sé</w:t>
            </w:r>
            <w:proofErr w:type="gramEnd"/>
            <w:r w:rsidRPr="00FC5B6A">
              <w:rPr>
                <w:i/>
                <w:iCs/>
              </w:rPr>
              <w:t xml:space="preserve"> la facultad de disposición y goce con que cuentan los titulares de dominio, pero si se impone limitaciones al ejercicio del atributo de uso.”</w:t>
            </w:r>
          </w:p>
          <w:p w14:paraId="033667F6" w14:textId="593EFD0A" w:rsidR="00DA3369" w:rsidRPr="00FC5B6A" w:rsidRDefault="00DA3369" w:rsidP="00A73037">
            <w:pPr>
              <w:rPr>
                <w:rFonts w:cstheme="minorHAnsi"/>
                <w:i/>
                <w:iCs/>
              </w:rPr>
            </w:pPr>
          </w:p>
          <w:p w14:paraId="5F10E46B" w14:textId="36659EFC" w:rsidR="00DA3369" w:rsidRPr="00FC5B6A" w:rsidRDefault="0983F672" w:rsidP="0983F672">
            <w:pPr>
              <w:jc w:val="both"/>
              <w:rPr>
                <w:i/>
                <w:iCs/>
              </w:rPr>
            </w:pPr>
            <w:r w:rsidRPr="00FC5B6A">
              <w:rPr>
                <w:i/>
                <w:iCs/>
              </w:rPr>
              <w:t>ARTÍCULO 64. Es deber del Estado promover el acceso progresivo a la propiedad de la tierra del campesinado y de los trabajadores agrarios, en forma individual o asociativa.</w:t>
            </w:r>
          </w:p>
          <w:p w14:paraId="54FB0E34" w14:textId="2D8E4EC0" w:rsidR="00DA3369" w:rsidRPr="00FC5B6A" w:rsidRDefault="0983F672" w:rsidP="0983F672">
            <w:pPr>
              <w:jc w:val="both"/>
              <w:rPr>
                <w:i/>
                <w:iCs/>
              </w:rPr>
            </w:pPr>
            <w:r w:rsidRPr="00FC5B6A">
              <w:rPr>
                <w:i/>
                <w:iCs/>
              </w:rPr>
              <w:t>El campesinado es sujeto de derechos y de especial protección, tiene un particular relacionamiento con la tierra basado en la producción de alimentos en garantía de la soberanía alimentaria, sus formas de territorialidad campesina, condiciones geográficas, demográficas, organizativas y culturales que lo distingue de otros grupos sociales.</w:t>
            </w:r>
          </w:p>
          <w:p w14:paraId="173F6ECE" w14:textId="36AB16E4" w:rsidR="00DA3369" w:rsidRPr="00FC5B6A" w:rsidRDefault="0983F672" w:rsidP="0983F672">
            <w:pPr>
              <w:jc w:val="both"/>
              <w:rPr>
                <w:i/>
                <w:iCs/>
              </w:rPr>
            </w:pPr>
            <w:r w:rsidRPr="00FC5B6A">
              <w:rPr>
                <w:i/>
                <w:iCs/>
              </w:rPr>
              <w:t>El Estado reconoce la dimensión económica, social, cultural, política y ambiental del campesinado, así como aquellas que le sean reconocidas y velará por la protección, respeto y garantía de sus derechos individuales y colectivos, con el objetivo de lograr la igualdad material desde Un enfoque de género, etario y territorial, el acceso a bienes y derechos cono a la educación de calidad con pertinencia, la vivienda, la salud, los servicios públicos domiciliarios, vías terciarias, la tierra, el territorio, un ambiente sano, el acceso e intercambio de semillas, los recursos naturales y la diversidad biológica, el agua, la participación reforzada, la conectividad digital, la mejora de la infraestructura rural, la extensión agropecuaria y empresarial, asistencia técnica y tecnológica para generar valor agregado y medios de comercialización para sus productos.</w:t>
            </w:r>
          </w:p>
          <w:p w14:paraId="7AFDF450" w14:textId="09530A0F" w:rsidR="00DA3369" w:rsidRPr="00FC5B6A" w:rsidRDefault="0983F672" w:rsidP="0983F672">
            <w:pPr>
              <w:jc w:val="both"/>
              <w:rPr>
                <w:i/>
                <w:iCs/>
              </w:rPr>
            </w:pPr>
            <w:proofErr w:type="gramStart"/>
            <w:r w:rsidRPr="00FC5B6A">
              <w:rPr>
                <w:i/>
                <w:iCs/>
              </w:rPr>
              <w:t>Los campesinos y las campesinas</w:t>
            </w:r>
            <w:proofErr w:type="gramEnd"/>
            <w:r w:rsidRPr="00FC5B6A">
              <w:rPr>
                <w:i/>
                <w:iCs/>
              </w:rPr>
              <w:t xml:space="preserve"> son libres e iguales a todas las demás poblaciones y tienen derecho a no ser objeto de ningún tipo de discriminación en el ejercicio de sus derechos, en particular las fundadas en su situación económica, social, cultural y política.</w:t>
            </w:r>
          </w:p>
          <w:p w14:paraId="2EB3D21B" w14:textId="4CA670B7" w:rsidR="00DA3369" w:rsidRPr="00FC5B6A" w:rsidRDefault="0983F672" w:rsidP="0983F672">
            <w:pPr>
              <w:jc w:val="both"/>
              <w:rPr>
                <w:i/>
                <w:iCs/>
              </w:rPr>
            </w:pPr>
            <w:r w:rsidRPr="00FC5B6A">
              <w:rPr>
                <w:i/>
                <w:iCs/>
              </w:rPr>
              <w:t xml:space="preserve">PARÁGRAFO 1. La ley reglamentará la institucionalidad necesaria para lograr los fines del presente artículo y establecerá los mecanismos presupuestales que se requieran, así como el derecho de los campesinos </w:t>
            </w:r>
            <w:r w:rsidRPr="00FC5B6A">
              <w:rPr>
                <w:i/>
                <w:iCs/>
              </w:rPr>
              <w:lastRenderedPageBreak/>
              <w:t>a retirarse de la colectividad, conservando el porcentaje de tierra que le corresponda en casos de territorios campesinos donde la propiedad de la tierra sea colectiva.</w:t>
            </w:r>
          </w:p>
          <w:p w14:paraId="439020A9" w14:textId="1205244F" w:rsidR="00DA3369" w:rsidRPr="00FC5B6A" w:rsidRDefault="0983F672" w:rsidP="0983F672">
            <w:pPr>
              <w:jc w:val="both"/>
              <w:rPr>
                <w:i/>
                <w:iCs/>
              </w:rPr>
            </w:pPr>
            <w:r w:rsidRPr="00FC5B6A">
              <w:rPr>
                <w:i/>
                <w:iCs/>
              </w:rPr>
              <w:t>PARÁGRAFO 2. Se creará el trazador presupuestal del campesinado como herramienta para el seguimiento del gasto y la inversión realizada por múltiples sectores y entidades, dirigida a atender a la población campesina ubicada en zona rural y rural dispersa”.</w:t>
            </w:r>
          </w:p>
          <w:p w14:paraId="1E978EFE" w14:textId="37555973" w:rsidR="00DA3369" w:rsidRPr="00FC5B6A" w:rsidRDefault="00DA3369" w:rsidP="00DA3369">
            <w:pPr>
              <w:rPr>
                <w:rFonts w:cstheme="minorHAnsi"/>
                <w:i/>
                <w:iCs/>
              </w:rPr>
            </w:pPr>
          </w:p>
          <w:p w14:paraId="1410E6B9" w14:textId="30D3F280" w:rsidR="00DA3369" w:rsidRPr="00FC5B6A" w:rsidRDefault="0983F672" w:rsidP="0983F672">
            <w:pPr>
              <w:jc w:val="both"/>
              <w:rPr>
                <w:i/>
                <w:iCs/>
              </w:rPr>
            </w:pPr>
            <w:r w:rsidRPr="00FC5B6A">
              <w:rPr>
                <w:i/>
                <w:iCs/>
              </w:rPr>
              <w:t xml:space="preserve">ARTÍCULO </w:t>
            </w:r>
            <w:proofErr w:type="gramStart"/>
            <w:r w:rsidRPr="00FC5B6A">
              <w:rPr>
                <w:i/>
                <w:iCs/>
              </w:rPr>
              <w:t>65.(</w:t>
            </w:r>
            <w:proofErr w:type="gramEnd"/>
            <w:r w:rsidRPr="00FC5B6A">
              <w:rPr>
                <w:i/>
                <w:iCs/>
              </w:rPr>
              <w:t>Modificado por el Art. 1, Acto legislativo 01 de 2025).” El Estado garantizará el derecho humano a la alimentación adecuada, de manera progresiva, con un enfoque intercultural y territorial, y a estar protegido contra el hambre y las distintas formas de malnutrición. Así mismo, promoverá condiciones de seguridad, soberanía y autonomías alimentarias en el territorio nacional y generará acciones para minimizar la pérdida de alimentos.</w:t>
            </w:r>
          </w:p>
          <w:p w14:paraId="7F07C5A0" w14:textId="2C1840E3" w:rsidR="00DA3369" w:rsidRPr="00FC5B6A" w:rsidRDefault="0983F672" w:rsidP="0983F672">
            <w:pPr>
              <w:jc w:val="both"/>
              <w:rPr>
                <w:i/>
                <w:iCs/>
              </w:rPr>
            </w:pPr>
            <w:r w:rsidRPr="00FC5B6A">
              <w:rPr>
                <w:i/>
                <w:iCs/>
              </w:rPr>
              <w:t>La producción y acceso a alimentos gozará de la especial protección del Estado. Para tal efecto, se otorgará prioridad al desarrollo sostenible e integral de las actividades agrícolas, agroalimentarias, agroindustriales, agroecológicas, pecuarias, pesqueras, acuáticas, forestales y campesinas, así como también a la adecuación de tierras, construcción de obras de infraestructura física y logística que facilite la disponibilidad de alimentos en todo el territorio nacional.</w:t>
            </w:r>
          </w:p>
          <w:p w14:paraId="683575BF" w14:textId="77777777" w:rsidR="00DA3369" w:rsidRPr="00FC5B6A" w:rsidRDefault="0983F672" w:rsidP="0983F672">
            <w:pPr>
              <w:jc w:val="both"/>
              <w:rPr>
                <w:i/>
                <w:iCs/>
              </w:rPr>
            </w:pPr>
            <w:r w:rsidRPr="00FC5B6A">
              <w:rPr>
                <w:i/>
                <w:iCs/>
              </w:rPr>
              <w:t>De igual manera, el Estado promoverá la investigación y la transferencia de conocimiento y tecnología para la producción de alimentos y materias primas de origen agropecuario y acuícola, con el propósito de incrementar la productividad y disponibilidad, así como proteger y salvaguardar la biodiversidad y los medios e insumos de la actividad.</w:t>
            </w:r>
          </w:p>
          <w:p w14:paraId="60556CF0" w14:textId="42332557" w:rsidR="00DA3369" w:rsidRPr="00FC5B6A" w:rsidRDefault="0983F672" w:rsidP="0983F672">
            <w:pPr>
              <w:jc w:val="both"/>
              <w:rPr>
                <w:i/>
                <w:iCs/>
              </w:rPr>
            </w:pPr>
            <w:r w:rsidRPr="00FC5B6A">
              <w:rPr>
                <w:i/>
                <w:iCs/>
              </w:rPr>
              <w:t>PARÁGRAFO TRANSITORIO. Dentro de los 6 meses siguientes a la promulgación del presente Acto Legislativo, el Gobierno Nacional presentará ante el Congreso de la República para su trámite un proyecto de ley estatutaria que desarrolle y regiamente lo dispuesto en este artículo”.</w:t>
            </w:r>
          </w:p>
          <w:p w14:paraId="5F9173C7" w14:textId="6A13735B" w:rsidR="00320D4E" w:rsidRPr="00FC5B6A" w:rsidRDefault="00320D4E" w:rsidP="0983F672">
            <w:pPr>
              <w:jc w:val="both"/>
              <w:rPr>
                <w:i/>
                <w:iCs/>
              </w:rPr>
            </w:pPr>
          </w:p>
          <w:p w14:paraId="6ACC13C6" w14:textId="5C99F7F3" w:rsidR="00320D4E" w:rsidRPr="00FC5B6A" w:rsidRDefault="0983F672" w:rsidP="0983F672">
            <w:pPr>
              <w:jc w:val="both"/>
              <w:rPr>
                <w:i/>
                <w:iCs/>
              </w:rPr>
            </w:pPr>
            <w:r w:rsidRPr="00FC5B6A">
              <w:rPr>
                <w:i/>
                <w:iCs/>
              </w:rPr>
              <w:t>ARTÍCULO 79. “Todas las personas tienen derecho a gozar de un ambiente sano. La Ley garantizará la participación de la comunidad en las decisiones que puedan afectarlo. Es deber del Estado proteger la diversidad P. integridad del ambiente, conservar las áreas de especial importancia ecológica y fomentar la educación para el logro de estos fines. El Estado tiene un especial deber de protección del agua.</w:t>
            </w:r>
          </w:p>
          <w:p w14:paraId="321F9275" w14:textId="6B36927D" w:rsidR="00320D4E" w:rsidRPr="00FC5B6A" w:rsidRDefault="0983F672" w:rsidP="0983F672">
            <w:pPr>
              <w:jc w:val="both"/>
              <w:rPr>
                <w:i/>
                <w:iCs/>
              </w:rPr>
            </w:pPr>
            <w:r w:rsidRPr="00FC5B6A">
              <w:rPr>
                <w:i/>
                <w:iCs/>
              </w:rPr>
              <w:t xml:space="preserve">Queda prohibida de exploración o explotación </w:t>
            </w:r>
            <w:proofErr w:type="spellStart"/>
            <w:r w:rsidRPr="00FC5B6A">
              <w:rPr>
                <w:i/>
                <w:iCs/>
              </w:rPr>
              <w:t>minerá</w:t>
            </w:r>
            <w:proofErr w:type="spellEnd"/>
            <w:r w:rsidRPr="00FC5B6A">
              <w:rPr>
                <w:i/>
                <w:iCs/>
              </w:rPr>
              <w:t xml:space="preserve"> de cualquier tipo o de hidrocarburos en ecosistemas de paramo y sus zonas de amortiguamiento. También estarán prohibidas las expansiones urbanas y suburbanas y las actividades de alto impacto estos ecosistemas.</w:t>
            </w:r>
          </w:p>
          <w:p w14:paraId="00427257" w14:textId="77777777" w:rsidR="00320D4E" w:rsidRPr="00FC5B6A" w:rsidRDefault="00320D4E" w:rsidP="0983F672">
            <w:pPr>
              <w:jc w:val="both"/>
              <w:rPr>
                <w:i/>
                <w:iCs/>
              </w:rPr>
            </w:pPr>
          </w:p>
          <w:p w14:paraId="073D50A4" w14:textId="749896DA" w:rsidR="00320D4E" w:rsidRPr="00FC5B6A" w:rsidRDefault="0983F672" w:rsidP="0983F672">
            <w:pPr>
              <w:jc w:val="both"/>
              <w:rPr>
                <w:i/>
                <w:iCs/>
              </w:rPr>
            </w:pPr>
            <w:r w:rsidRPr="00FC5B6A">
              <w:rPr>
                <w:i/>
                <w:iCs/>
              </w:rPr>
              <w:t xml:space="preserve">Los municipios a través de las herramientas de ordenamiento territorial establecerán los usos en ecosistemas colindantes a los </w:t>
            </w:r>
            <w:proofErr w:type="spellStart"/>
            <w:r w:rsidRPr="00FC5B6A">
              <w:rPr>
                <w:i/>
                <w:iCs/>
              </w:rPr>
              <w:t>paramos</w:t>
            </w:r>
            <w:proofErr w:type="spellEnd"/>
            <w:r w:rsidRPr="00FC5B6A">
              <w:rPr>
                <w:i/>
                <w:iCs/>
              </w:rPr>
              <w:t xml:space="preserve"> que </w:t>
            </w:r>
            <w:r w:rsidRPr="00FC5B6A">
              <w:rPr>
                <w:i/>
                <w:iCs/>
              </w:rPr>
              <w:lastRenderedPageBreak/>
              <w:t xml:space="preserve">pudieran generar daños sobre estos, en especial lo referente a </w:t>
            </w:r>
            <w:proofErr w:type="spellStart"/>
            <w:r w:rsidRPr="00FC5B6A">
              <w:rPr>
                <w:i/>
                <w:iCs/>
              </w:rPr>
              <w:t>mineria</w:t>
            </w:r>
            <w:proofErr w:type="spellEnd"/>
            <w:r w:rsidRPr="00FC5B6A">
              <w:rPr>
                <w:i/>
                <w:iCs/>
              </w:rPr>
              <w:t xml:space="preserve"> artesanal y de subsistencia en las áreas amortiguadoras, tendientes para mitigar el impacto negativo sobre estos ecosistemas”.</w:t>
            </w:r>
          </w:p>
          <w:p w14:paraId="1CE01D1D" w14:textId="5CC99502" w:rsidR="00DA3369" w:rsidRPr="00FC5B6A" w:rsidRDefault="00DA3369" w:rsidP="0983F672">
            <w:pPr>
              <w:jc w:val="both"/>
              <w:rPr>
                <w:i/>
                <w:iCs/>
              </w:rPr>
            </w:pPr>
          </w:p>
          <w:p w14:paraId="6F6689CE" w14:textId="06B6A068" w:rsidR="00DA3369" w:rsidRPr="00FC5B6A" w:rsidRDefault="0983F672" w:rsidP="0983F672">
            <w:pPr>
              <w:jc w:val="both"/>
              <w:rPr>
                <w:i/>
                <w:iCs/>
              </w:rPr>
            </w:pPr>
            <w:r w:rsidRPr="00FC5B6A">
              <w:rPr>
                <w:i/>
                <w:iCs/>
              </w:rPr>
              <w:t>ARTÍCULO 80. “El Estado planificará el manejo y aprovechamiento de los recursos naturales, para garantizar su desarrollo sostenible, su conservación, restauración o sustitución.</w:t>
            </w:r>
          </w:p>
          <w:p w14:paraId="4BC1A490" w14:textId="77777777" w:rsidR="00DA3369" w:rsidRPr="00FC5B6A" w:rsidRDefault="00DA3369" w:rsidP="0983F672">
            <w:pPr>
              <w:jc w:val="both"/>
              <w:rPr>
                <w:i/>
                <w:iCs/>
              </w:rPr>
            </w:pPr>
          </w:p>
          <w:p w14:paraId="5ED3048C" w14:textId="77777777" w:rsidR="00DA3369" w:rsidRPr="00FC5B6A" w:rsidRDefault="0983F672" w:rsidP="0983F672">
            <w:pPr>
              <w:jc w:val="both"/>
              <w:rPr>
                <w:i/>
                <w:iCs/>
              </w:rPr>
            </w:pPr>
            <w:r w:rsidRPr="00FC5B6A">
              <w:rPr>
                <w:i/>
                <w:iCs/>
              </w:rPr>
              <w:t>Además, deberá prevenir y controlar los factores de deterioro ambiental, imponer las sanciones legales y exigir la reparación de los daños causados.</w:t>
            </w:r>
          </w:p>
          <w:p w14:paraId="60625FB3" w14:textId="77777777" w:rsidR="00DA3369" w:rsidRPr="00FC5B6A" w:rsidRDefault="00DA3369" w:rsidP="0983F672">
            <w:pPr>
              <w:jc w:val="both"/>
              <w:rPr>
                <w:i/>
                <w:iCs/>
              </w:rPr>
            </w:pPr>
          </w:p>
          <w:p w14:paraId="3C6665C3" w14:textId="13E4009C" w:rsidR="00DA3369" w:rsidRPr="00FC5B6A" w:rsidRDefault="0983F672" w:rsidP="0983F672">
            <w:pPr>
              <w:jc w:val="both"/>
              <w:rPr>
                <w:i/>
                <w:iCs/>
              </w:rPr>
            </w:pPr>
            <w:r w:rsidRPr="00FC5B6A">
              <w:rPr>
                <w:i/>
                <w:iCs/>
              </w:rPr>
              <w:t>Así mismo, cooperará con otras naciones en la protección de los ecosistemas situados en las zonas fronterizas”.</w:t>
            </w:r>
          </w:p>
          <w:p w14:paraId="2C115F69" w14:textId="735F0124" w:rsidR="00320D4E" w:rsidRPr="00FC5B6A" w:rsidRDefault="00320D4E" w:rsidP="0983F672">
            <w:pPr>
              <w:jc w:val="both"/>
              <w:rPr>
                <w:i/>
                <w:iCs/>
              </w:rPr>
            </w:pPr>
          </w:p>
          <w:p w14:paraId="1EBBC07C" w14:textId="06D966E8" w:rsidR="00DA3369" w:rsidRPr="00FC5B6A" w:rsidRDefault="0983F672" w:rsidP="0983F672">
            <w:pPr>
              <w:jc w:val="both"/>
              <w:rPr>
                <w:i/>
                <w:iCs/>
              </w:rPr>
            </w:pPr>
            <w:r w:rsidRPr="00FC5B6A">
              <w:rPr>
                <w:i/>
                <w:iCs/>
              </w:rPr>
              <w:t>ARTÍCULO 332. “El Estado es propietario del subsuelo y de los recursos naturales no renovables, sin perjuicio de los derechos adquiridos y perfeccionados con arreglo a las leyes preexistentes”.</w:t>
            </w:r>
          </w:p>
          <w:p w14:paraId="2906EC25" w14:textId="1A9A49E4" w:rsidR="00320D4E" w:rsidRPr="00FC5B6A" w:rsidRDefault="00320D4E" w:rsidP="00A73037">
            <w:pPr>
              <w:rPr>
                <w:rFonts w:cstheme="minorHAnsi"/>
                <w:i/>
                <w:iCs/>
              </w:rPr>
            </w:pPr>
          </w:p>
        </w:tc>
      </w:tr>
      <w:tr w:rsidR="00911B3B" w:rsidRPr="00FC5B6A" w14:paraId="3733983D" w14:textId="77777777" w:rsidTr="0983F672">
        <w:tc>
          <w:tcPr>
            <w:tcW w:w="2122" w:type="dxa"/>
          </w:tcPr>
          <w:p w14:paraId="7BDDDBBF" w14:textId="77777777" w:rsidR="00053C95" w:rsidRPr="00FC5B6A" w:rsidRDefault="00053C95" w:rsidP="00883282">
            <w:pPr>
              <w:jc w:val="center"/>
              <w:rPr>
                <w:rFonts w:eastAsia="Calibri" w:cstheme="minorHAnsi"/>
                <w:b/>
                <w:bCs/>
                <w:color w:val="000000" w:themeColor="text1"/>
                <w:lang w:val="es"/>
              </w:rPr>
            </w:pPr>
            <w:r w:rsidRPr="00FC5B6A">
              <w:rPr>
                <w:rFonts w:eastAsia="Calibri" w:cstheme="minorHAnsi"/>
                <w:b/>
                <w:bCs/>
                <w:color w:val="000000" w:themeColor="text1"/>
                <w:lang w:val="es"/>
              </w:rPr>
              <w:lastRenderedPageBreak/>
              <w:t>Decreto Ley 2811 de 1974</w:t>
            </w:r>
          </w:p>
          <w:p w14:paraId="101F7379" w14:textId="09441FC2" w:rsidR="00911B3B" w:rsidRPr="00FC5B6A" w:rsidRDefault="00053C95" w:rsidP="00883282">
            <w:pPr>
              <w:jc w:val="center"/>
              <w:rPr>
                <w:rFonts w:cstheme="minorHAnsi"/>
              </w:rPr>
            </w:pPr>
            <w:r w:rsidRPr="00FC5B6A">
              <w:rPr>
                <w:rFonts w:eastAsia="Calibri" w:cstheme="minorHAnsi"/>
                <w:i/>
                <w:iCs/>
                <w:color w:val="000000" w:themeColor="text1"/>
              </w:rPr>
              <w:t>“Por el cual se dicta el Código Nacional de Recursos Naturales Renovables y de Protección al Medio Ambiente.”</w:t>
            </w:r>
          </w:p>
        </w:tc>
        <w:tc>
          <w:tcPr>
            <w:tcW w:w="6706" w:type="dxa"/>
          </w:tcPr>
          <w:p w14:paraId="4BD7321C" w14:textId="77777777" w:rsidR="00911B3B" w:rsidRPr="00FC5B6A" w:rsidRDefault="00911B3B" w:rsidP="00911B3B">
            <w:pPr>
              <w:jc w:val="both"/>
              <w:rPr>
                <w:rFonts w:eastAsia="Calibri" w:cstheme="minorHAnsi"/>
                <w:color w:val="000000" w:themeColor="text1"/>
              </w:rPr>
            </w:pPr>
            <w:r w:rsidRPr="00FC5B6A">
              <w:rPr>
                <w:rFonts w:eastAsia="Calibri" w:cstheme="minorHAnsi"/>
                <w:color w:val="000000" w:themeColor="text1"/>
              </w:rPr>
              <w:t>Art 202. “</w:t>
            </w:r>
            <w:r w:rsidRPr="00FC5B6A">
              <w:rPr>
                <w:rFonts w:eastAsia="Calibri" w:cstheme="minorHAnsi"/>
                <w:i/>
                <w:iCs/>
                <w:color w:val="000000" w:themeColor="text1"/>
              </w:rPr>
              <w:t>Las áreas forestales podrán ser productoras, protectoras y protectoras-productoras</w:t>
            </w:r>
            <w:r w:rsidRPr="00FC5B6A">
              <w:rPr>
                <w:rFonts w:eastAsia="Calibri" w:cstheme="minorHAnsi"/>
                <w:color w:val="000000" w:themeColor="text1"/>
              </w:rPr>
              <w:t>” (Modificación Ley 1450 de 2011)</w:t>
            </w:r>
          </w:p>
          <w:p w14:paraId="19AA31AB" w14:textId="77777777" w:rsidR="00911B3B" w:rsidRPr="00FC5B6A" w:rsidRDefault="00911B3B" w:rsidP="00911B3B">
            <w:pPr>
              <w:jc w:val="both"/>
              <w:rPr>
                <w:rFonts w:eastAsia="Calibri" w:cstheme="minorHAnsi"/>
                <w:color w:val="000000" w:themeColor="text1"/>
              </w:rPr>
            </w:pPr>
            <w:r w:rsidRPr="00FC5B6A">
              <w:rPr>
                <w:rFonts w:eastAsia="Calibri" w:cstheme="minorHAnsi"/>
                <w:color w:val="000000" w:themeColor="text1"/>
              </w:rPr>
              <w:t xml:space="preserve"> </w:t>
            </w:r>
          </w:p>
          <w:p w14:paraId="31402A44" w14:textId="77777777" w:rsidR="00911B3B" w:rsidRPr="00FC5B6A" w:rsidRDefault="00911B3B" w:rsidP="00911B3B">
            <w:pPr>
              <w:jc w:val="both"/>
              <w:rPr>
                <w:rFonts w:eastAsia="Calibri" w:cstheme="minorHAnsi"/>
                <w:color w:val="000000" w:themeColor="text1"/>
              </w:rPr>
            </w:pPr>
            <w:r w:rsidRPr="00FC5B6A">
              <w:rPr>
                <w:rFonts w:eastAsia="Calibri" w:cstheme="minorHAnsi"/>
                <w:color w:val="000000" w:themeColor="text1"/>
              </w:rPr>
              <w:t>Art 203. “</w:t>
            </w:r>
            <w:r w:rsidRPr="00FC5B6A">
              <w:rPr>
                <w:rFonts w:eastAsia="Calibri" w:cstheme="minorHAnsi"/>
                <w:i/>
                <w:iCs/>
                <w:color w:val="000000" w:themeColor="text1"/>
              </w:rPr>
              <w:t>Es área forestal productora la zona que debe ser conservada permanentemente con bosques naturales o artificiales para obtener productos forestales para comercialización o consumo</w:t>
            </w:r>
            <w:r w:rsidRPr="00FC5B6A">
              <w:rPr>
                <w:rFonts w:eastAsia="Calibri" w:cstheme="minorHAnsi"/>
                <w:color w:val="000000" w:themeColor="text1"/>
              </w:rPr>
              <w:t>”</w:t>
            </w:r>
          </w:p>
          <w:p w14:paraId="05A22E93" w14:textId="77777777" w:rsidR="00911B3B" w:rsidRPr="00FC5B6A" w:rsidRDefault="00911B3B" w:rsidP="00911B3B">
            <w:pPr>
              <w:jc w:val="both"/>
              <w:rPr>
                <w:rFonts w:eastAsia="Calibri" w:cstheme="minorHAnsi"/>
                <w:color w:val="000000" w:themeColor="text1"/>
              </w:rPr>
            </w:pPr>
            <w:r w:rsidRPr="00FC5B6A">
              <w:rPr>
                <w:rFonts w:eastAsia="Calibri" w:cstheme="minorHAnsi"/>
                <w:color w:val="000000" w:themeColor="text1"/>
              </w:rPr>
              <w:t xml:space="preserve"> </w:t>
            </w:r>
          </w:p>
          <w:p w14:paraId="39E175E6" w14:textId="77777777" w:rsidR="00911B3B" w:rsidRPr="00FC5B6A" w:rsidRDefault="00911B3B" w:rsidP="00911B3B">
            <w:pPr>
              <w:jc w:val="both"/>
              <w:rPr>
                <w:rFonts w:eastAsia="Calibri" w:cstheme="minorHAnsi"/>
                <w:i/>
                <w:iCs/>
                <w:color w:val="000000" w:themeColor="text1"/>
              </w:rPr>
            </w:pPr>
            <w:r w:rsidRPr="00FC5B6A">
              <w:rPr>
                <w:rFonts w:eastAsia="Calibri" w:cstheme="minorHAnsi"/>
                <w:color w:val="000000" w:themeColor="text1"/>
              </w:rPr>
              <w:t>Art 204. “</w:t>
            </w:r>
            <w:r w:rsidRPr="00FC5B6A">
              <w:rPr>
                <w:rFonts w:eastAsia="Calibri" w:cstheme="minorHAnsi"/>
                <w:i/>
                <w:iCs/>
                <w:color w:val="000000" w:themeColor="text1"/>
              </w:rPr>
              <w:t>Se entiende por área forestal protectora la zona que debe ser conservada permanentemente con bosques naturales o artificiales, para proteger estos mismos recursos u otros naturales renovables. En el área forestal protectora debe prevalecer el efecto protector y solo se permitirá la obtención de frutos secundarios del bosque”</w:t>
            </w:r>
          </w:p>
          <w:p w14:paraId="1974D0BF" w14:textId="77777777" w:rsidR="00911B3B" w:rsidRPr="00FC5B6A" w:rsidRDefault="00911B3B" w:rsidP="00911B3B">
            <w:pPr>
              <w:jc w:val="both"/>
              <w:rPr>
                <w:rFonts w:eastAsia="Calibri" w:cstheme="minorHAnsi"/>
                <w:color w:val="000000" w:themeColor="text1"/>
              </w:rPr>
            </w:pPr>
            <w:r w:rsidRPr="00FC5B6A">
              <w:rPr>
                <w:rFonts w:eastAsia="Calibri" w:cstheme="minorHAnsi"/>
                <w:color w:val="000000" w:themeColor="text1"/>
              </w:rPr>
              <w:t xml:space="preserve"> </w:t>
            </w:r>
          </w:p>
          <w:p w14:paraId="31790136" w14:textId="77777777" w:rsidR="00911B3B" w:rsidRPr="00FC5B6A" w:rsidRDefault="00911B3B" w:rsidP="00911B3B">
            <w:pPr>
              <w:jc w:val="both"/>
              <w:rPr>
                <w:rFonts w:eastAsia="Calibri" w:cstheme="minorHAnsi"/>
                <w:color w:val="000000" w:themeColor="text1"/>
              </w:rPr>
            </w:pPr>
            <w:r w:rsidRPr="00FC5B6A">
              <w:rPr>
                <w:rFonts w:eastAsia="Calibri" w:cstheme="minorHAnsi"/>
                <w:color w:val="000000" w:themeColor="text1"/>
              </w:rPr>
              <w:t>Art 205. “</w:t>
            </w:r>
            <w:r w:rsidRPr="00FC5B6A">
              <w:rPr>
                <w:rFonts w:eastAsia="Calibri" w:cstheme="minorHAnsi"/>
                <w:i/>
                <w:iCs/>
                <w:color w:val="000000" w:themeColor="text1"/>
              </w:rPr>
              <w:t xml:space="preserve">Se entiende por área forestal protectora-productora la zona que debe ser conservada permanentemente con bosques naturales o artificiales para proteger los recursos naturales renovables, y </w:t>
            </w:r>
            <w:proofErr w:type="gramStart"/>
            <w:r w:rsidRPr="00FC5B6A">
              <w:rPr>
                <w:rFonts w:eastAsia="Calibri" w:cstheme="minorHAnsi"/>
                <w:i/>
                <w:iCs/>
                <w:color w:val="000000" w:themeColor="text1"/>
              </w:rPr>
              <w:t>que</w:t>
            </w:r>
            <w:proofErr w:type="gramEnd"/>
            <w:r w:rsidRPr="00FC5B6A">
              <w:rPr>
                <w:rFonts w:eastAsia="Calibri" w:cstheme="minorHAnsi"/>
                <w:i/>
                <w:iCs/>
                <w:color w:val="000000" w:themeColor="text1"/>
              </w:rPr>
              <w:t xml:space="preserve"> además, puede ser objeto de actividades de producción sujeta necesariamente al mantenimiento del efecto protector</w:t>
            </w:r>
            <w:r w:rsidRPr="00FC5B6A">
              <w:rPr>
                <w:rFonts w:eastAsia="Calibri" w:cstheme="minorHAnsi"/>
                <w:color w:val="000000" w:themeColor="text1"/>
              </w:rPr>
              <w:t>”</w:t>
            </w:r>
          </w:p>
          <w:p w14:paraId="0A303595" w14:textId="77777777" w:rsidR="00911B3B" w:rsidRPr="00FC5B6A" w:rsidRDefault="00911B3B" w:rsidP="00911B3B">
            <w:pPr>
              <w:jc w:val="both"/>
              <w:rPr>
                <w:rFonts w:eastAsia="Calibri" w:cstheme="minorHAnsi"/>
                <w:color w:val="000000" w:themeColor="text1"/>
              </w:rPr>
            </w:pPr>
            <w:r w:rsidRPr="00FC5B6A">
              <w:rPr>
                <w:rFonts w:eastAsia="Calibri" w:cstheme="minorHAnsi"/>
                <w:color w:val="000000" w:themeColor="text1"/>
              </w:rPr>
              <w:t xml:space="preserve"> </w:t>
            </w:r>
          </w:p>
          <w:p w14:paraId="76845B1C" w14:textId="77777777" w:rsidR="00911B3B" w:rsidRPr="00FC5B6A" w:rsidRDefault="00911B3B" w:rsidP="00911B3B">
            <w:pPr>
              <w:jc w:val="both"/>
              <w:rPr>
                <w:rFonts w:eastAsia="Calibri" w:cstheme="minorHAnsi"/>
                <w:color w:val="000000" w:themeColor="text1"/>
              </w:rPr>
            </w:pPr>
            <w:r w:rsidRPr="00FC5B6A">
              <w:rPr>
                <w:rFonts w:eastAsia="Calibri" w:cstheme="minorHAnsi"/>
                <w:color w:val="000000" w:themeColor="text1"/>
              </w:rPr>
              <w:t>Art 206</w:t>
            </w:r>
            <w:r w:rsidRPr="00FC5B6A">
              <w:rPr>
                <w:rFonts w:eastAsia="Calibri" w:cstheme="minorHAnsi"/>
                <w:b/>
                <w:bCs/>
                <w:color w:val="000000" w:themeColor="text1"/>
              </w:rPr>
              <w:t>.</w:t>
            </w:r>
            <w:r w:rsidRPr="00FC5B6A">
              <w:rPr>
                <w:rFonts w:eastAsia="Calibri" w:cstheme="minorHAnsi"/>
                <w:color w:val="000000" w:themeColor="text1"/>
              </w:rPr>
              <w:t xml:space="preserve"> “</w:t>
            </w:r>
            <w:r w:rsidRPr="00FC5B6A">
              <w:rPr>
                <w:rFonts w:eastAsia="Calibri" w:cstheme="minorHAnsi"/>
                <w:i/>
                <w:iCs/>
                <w:color w:val="000000" w:themeColor="text1"/>
              </w:rPr>
              <w:t>Se denomina área de reserva forestal la zona de propiedad pública o privada reservada para destinarla exclusivamente al establecimiento o mantenimiento y utilización racional de áreas forestales productoras, protectoras o productoras-protectoras</w:t>
            </w:r>
            <w:r w:rsidRPr="00FC5B6A">
              <w:rPr>
                <w:rFonts w:eastAsia="Calibri" w:cstheme="minorHAnsi"/>
                <w:color w:val="000000" w:themeColor="text1"/>
              </w:rPr>
              <w:t>.</w:t>
            </w:r>
          </w:p>
          <w:p w14:paraId="4EA83409" w14:textId="77777777" w:rsidR="00911B3B" w:rsidRPr="00FC5B6A" w:rsidRDefault="00911B3B" w:rsidP="00911B3B">
            <w:pPr>
              <w:jc w:val="both"/>
              <w:rPr>
                <w:rFonts w:eastAsia="Calibri" w:cstheme="minorHAnsi"/>
                <w:color w:val="000000" w:themeColor="text1"/>
              </w:rPr>
            </w:pPr>
            <w:r w:rsidRPr="00FC5B6A">
              <w:rPr>
                <w:rFonts w:eastAsia="Calibri" w:cstheme="minorHAnsi"/>
                <w:color w:val="000000" w:themeColor="text1"/>
              </w:rPr>
              <w:t xml:space="preserve"> </w:t>
            </w:r>
          </w:p>
          <w:p w14:paraId="25E128A5" w14:textId="77777777" w:rsidR="00911B3B" w:rsidRPr="00FC5B6A" w:rsidRDefault="00911B3B" w:rsidP="00911B3B">
            <w:pPr>
              <w:jc w:val="both"/>
              <w:rPr>
                <w:rFonts w:eastAsia="Calibri" w:cstheme="minorHAnsi"/>
                <w:i/>
                <w:iCs/>
                <w:color w:val="000000" w:themeColor="text1"/>
              </w:rPr>
            </w:pPr>
            <w:r w:rsidRPr="00FC5B6A">
              <w:rPr>
                <w:rFonts w:eastAsia="Calibri" w:cstheme="minorHAnsi"/>
                <w:color w:val="000000" w:themeColor="text1"/>
              </w:rPr>
              <w:t>Art 207. “</w:t>
            </w:r>
            <w:r w:rsidRPr="00FC5B6A">
              <w:rPr>
                <w:rFonts w:eastAsia="Calibri" w:cstheme="minorHAnsi"/>
                <w:i/>
                <w:iCs/>
                <w:color w:val="000000" w:themeColor="text1"/>
              </w:rPr>
              <w:t xml:space="preserve">El área de reserva forestal sólo podrá destinarse al aprovechamiento racional permanente de los bosques que en ella existan </w:t>
            </w:r>
            <w:r w:rsidRPr="00FC5B6A">
              <w:rPr>
                <w:rFonts w:eastAsia="Calibri" w:cstheme="minorHAnsi"/>
                <w:i/>
                <w:iCs/>
                <w:color w:val="000000" w:themeColor="text1"/>
              </w:rPr>
              <w:lastRenderedPageBreak/>
              <w:t>o se establezcan y, en todo caso, deberá garantizarse la recuperación y supervivencia de los bosques.</w:t>
            </w:r>
          </w:p>
          <w:p w14:paraId="49E10095" w14:textId="77777777" w:rsidR="00911B3B" w:rsidRPr="00FC5B6A" w:rsidRDefault="00911B3B" w:rsidP="00911B3B">
            <w:pPr>
              <w:jc w:val="both"/>
              <w:rPr>
                <w:rFonts w:eastAsia="Calibri" w:cstheme="minorHAnsi"/>
                <w:i/>
                <w:iCs/>
                <w:color w:val="000000" w:themeColor="text1"/>
              </w:rPr>
            </w:pPr>
            <w:r w:rsidRPr="00FC5B6A">
              <w:rPr>
                <w:rFonts w:eastAsia="Calibri" w:cstheme="minorHAnsi"/>
                <w:i/>
                <w:iCs/>
                <w:color w:val="000000" w:themeColor="text1"/>
              </w:rPr>
              <w:t>En el caso, previamente determinado, en que no existan condiciones ecológicas, económicas o sociales que permitan garantizar la recuperación y supervivencia de los bosques, el concesionario o titular de permiso pagará la tasa adicional que se exige en los aprovechamientos forestales únicos.”</w:t>
            </w:r>
          </w:p>
          <w:p w14:paraId="57E02846" w14:textId="77777777" w:rsidR="00911B3B" w:rsidRPr="00FC5B6A" w:rsidRDefault="00911B3B" w:rsidP="00911B3B">
            <w:pPr>
              <w:rPr>
                <w:rFonts w:eastAsia="Calibri" w:cstheme="minorHAnsi"/>
                <w:color w:val="000000" w:themeColor="text1"/>
              </w:rPr>
            </w:pPr>
            <w:r w:rsidRPr="00FC5B6A">
              <w:rPr>
                <w:rFonts w:eastAsia="Calibri" w:cstheme="minorHAnsi"/>
                <w:color w:val="000000" w:themeColor="text1"/>
              </w:rPr>
              <w:t xml:space="preserve"> </w:t>
            </w:r>
          </w:p>
          <w:p w14:paraId="4D75DE98" w14:textId="77777777" w:rsidR="00911B3B" w:rsidRPr="00FC5B6A" w:rsidRDefault="00911B3B" w:rsidP="00911B3B">
            <w:pPr>
              <w:jc w:val="both"/>
              <w:rPr>
                <w:rFonts w:eastAsia="Calibri" w:cstheme="minorHAnsi"/>
                <w:i/>
                <w:iCs/>
                <w:color w:val="000000" w:themeColor="text1"/>
              </w:rPr>
            </w:pPr>
            <w:r w:rsidRPr="00FC5B6A">
              <w:rPr>
                <w:rFonts w:eastAsia="Calibri" w:cstheme="minorHAnsi"/>
                <w:color w:val="000000" w:themeColor="text1"/>
              </w:rPr>
              <w:t>Art 209</w:t>
            </w:r>
            <w:r w:rsidRPr="00FC5B6A">
              <w:rPr>
                <w:rFonts w:eastAsia="Calibri" w:cstheme="minorHAnsi"/>
                <w:b/>
                <w:bCs/>
                <w:color w:val="000000" w:themeColor="text1"/>
              </w:rPr>
              <w:t xml:space="preserve">. </w:t>
            </w:r>
            <w:r w:rsidRPr="00FC5B6A">
              <w:rPr>
                <w:rFonts w:eastAsia="Calibri" w:cstheme="minorHAnsi"/>
                <w:b/>
                <w:bCs/>
                <w:i/>
                <w:iCs/>
                <w:color w:val="000000" w:themeColor="text1"/>
              </w:rPr>
              <w:t>“</w:t>
            </w:r>
            <w:r w:rsidRPr="00FC5B6A">
              <w:rPr>
                <w:rFonts w:eastAsia="Calibri" w:cstheme="minorHAnsi"/>
                <w:i/>
                <w:iCs/>
                <w:color w:val="000000" w:themeColor="text1"/>
              </w:rPr>
              <w:t>No podrán ser adjudicados los baldíos de las áreas de reserva forestal.</w:t>
            </w:r>
          </w:p>
          <w:p w14:paraId="3DE94CE7" w14:textId="77777777" w:rsidR="00911B3B" w:rsidRPr="00FC5B6A" w:rsidRDefault="00911B3B" w:rsidP="00911B3B">
            <w:pPr>
              <w:rPr>
                <w:rFonts w:eastAsia="Calibri" w:cstheme="minorHAnsi"/>
                <w:i/>
                <w:iCs/>
                <w:color w:val="000000" w:themeColor="text1"/>
              </w:rPr>
            </w:pPr>
            <w:r w:rsidRPr="00FC5B6A">
              <w:rPr>
                <w:rFonts w:eastAsia="Calibri" w:cstheme="minorHAnsi"/>
                <w:i/>
                <w:iCs/>
                <w:color w:val="000000" w:themeColor="text1"/>
              </w:rPr>
              <w:t xml:space="preserve"> </w:t>
            </w:r>
          </w:p>
          <w:p w14:paraId="3A381209" w14:textId="77777777" w:rsidR="00911B3B" w:rsidRPr="00FC5B6A" w:rsidRDefault="00911B3B" w:rsidP="00911B3B">
            <w:pPr>
              <w:jc w:val="both"/>
              <w:rPr>
                <w:rFonts w:eastAsia="Calibri" w:cstheme="minorHAnsi"/>
                <w:i/>
                <w:iCs/>
                <w:color w:val="000000" w:themeColor="text1"/>
              </w:rPr>
            </w:pPr>
            <w:r w:rsidRPr="00FC5B6A">
              <w:rPr>
                <w:rFonts w:eastAsia="Calibri" w:cstheme="minorHAnsi"/>
                <w:i/>
                <w:iCs/>
                <w:color w:val="000000" w:themeColor="text1"/>
              </w:rPr>
              <w:t>Se podrá otorgar concesión sobre el uso de baldíos desprovistos de bosques, aun dentro de área de reserva forestal, durante el tiempo necesario para que el concesionario establezca bosques artificiales y los pueda aprovechar.”</w:t>
            </w:r>
          </w:p>
          <w:p w14:paraId="1418AE20" w14:textId="77777777" w:rsidR="00911B3B" w:rsidRPr="00FC5B6A" w:rsidRDefault="00911B3B" w:rsidP="00911B3B">
            <w:pPr>
              <w:jc w:val="both"/>
              <w:rPr>
                <w:rFonts w:eastAsia="Calibri" w:cstheme="minorHAnsi"/>
                <w:i/>
                <w:iCs/>
                <w:color w:val="000000" w:themeColor="text1"/>
              </w:rPr>
            </w:pPr>
            <w:r w:rsidRPr="00FC5B6A">
              <w:rPr>
                <w:rFonts w:eastAsia="Calibri" w:cstheme="minorHAnsi"/>
                <w:i/>
                <w:iCs/>
                <w:color w:val="000000" w:themeColor="text1"/>
              </w:rPr>
              <w:t xml:space="preserve"> </w:t>
            </w:r>
          </w:p>
          <w:p w14:paraId="219DA0EE" w14:textId="11DCC6B6" w:rsidR="00911B3B" w:rsidRPr="00FC5B6A" w:rsidRDefault="00911B3B" w:rsidP="00911B3B">
            <w:pPr>
              <w:rPr>
                <w:rFonts w:cstheme="minorHAnsi"/>
              </w:rPr>
            </w:pPr>
            <w:r w:rsidRPr="00FC5B6A">
              <w:rPr>
                <w:rFonts w:eastAsia="Calibri" w:cstheme="minorHAnsi"/>
                <w:color w:val="000000" w:themeColor="text1"/>
              </w:rPr>
              <w:t>Art 210.</w:t>
            </w:r>
            <w:r w:rsidRPr="00FC5B6A">
              <w:rPr>
                <w:rFonts w:eastAsia="Calibri" w:cstheme="minorHAnsi"/>
                <w:b/>
                <w:bCs/>
                <w:i/>
                <w:iCs/>
                <w:color w:val="000000" w:themeColor="text1"/>
              </w:rPr>
              <w:t xml:space="preserve"> “</w:t>
            </w:r>
            <w:proofErr w:type="spellStart"/>
            <w:r w:rsidRPr="00FC5B6A">
              <w:rPr>
                <w:rFonts w:eastAsia="Calibri" w:cstheme="minorHAnsi"/>
                <w:i/>
                <w:iCs/>
                <w:color w:val="000000" w:themeColor="text1"/>
              </w:rPr>
              <w:t>si</w:t>
            </w:r>
            <w:proofErr w:type="spellEnd"/>
            <w:r w:rsidRPr="00FC5B6A">
              <w:rPr>
                <w:rFonts w:eastAsia="Calibri" w:cstheme="minorHAnsi"/>
                <w:i/>
                <w:iCs/>
                <w:color w:val="000000" w:themeColor="text1"/>
              </w:rPr>
              <w:t xml:space="preserve"> en área de reserva forestal, por razones de utilidad pública o interés social, es necesario realizar actividades económicas que impliquen remoción de bosques o cambio en el uso de los suelos o cualquiera otra actividad distinta del aprovechamiento racional de los bosques, la zona afectada deberá, debidamente delimitada, ser previamente sustraída de la reserva.”</w:t>
            </w:r>
          </w:p>
        </w:tc>
      </w:tr>
      <w:tr w:rsidR="00A56ECD" w:rsidRPr="00FC5B6A" w14:paraId="12C13B9D" w14:textId="77777777" w:rsidTr="0983F672">
        <w:tc>
          <w:tcPr>
            <w:tcW w:w="2122" w:type="dxa"/>
          </w:tcPr>
          <w:p w14:paraId="12FBA5DE" w14:textId="77777777" w:rsidR="00A56ECD" w:rsidRPr="00FC5B6A" w:rsidRDefault="00A56ECD" w:rsidP="00883282">
            <w:pPr>
              <w:jc w:val="center"/>
              <w:rPr>
                <w:rFonts w:eastAsia="Calibri" w:cstheme="minorHAnsi"/>
                <w:b/>
                <w:bCs/>
                <w:i/>
                <w:iCs/>
                <w:color w:val="000000" w:themeColor="text1"/>
                <w:lang w:val="es"/>
              </w:rPr>
            </w:pPr>
            <w:r w:rsidRPr="00FC5B6A">
              <w:rPr>
                <w:rFonts w:eastAsia="Calibri" w:cstheme="minorHAnsi"/>
                <w:b/>
                <w:bCs/>
                <w:i/>
                <w:iCs/>
                <w:color w:val="000000" w:themeColor="text1"/>
                <w:lang w:val="es"/>
              </w:rPr>
              <w:lastRenderedPageBreak/>
              <w:t>Ley 99 de 1993</w:t>
            </w:r>
          </w:p>
          <w:p w14:paraId="760D03A4" w14:textId="71DB0527" w:rsidR="00A56ECD" w:rsidRPr="00FC5B6A" w:rsidRDefault="00A56ECD" w:rsidP="00883282">
            <w:pPr>
              <w:jc w:val="center"/>
              <w:rPr>
                <w:rFonts w:eastAsia="Calibri" w:cstheme="minorHAnsi"/>
                <w:i/>
                <w:iCs/>
                <w:color w:val="000000" w:themeColor="text1"/>
                <w:lang w:val="es"/>
              </w:rPr>
            </w:pPr>
            <w:r w:rsidRPr="00FC5B6A">
              <w:rPr>
                <w:rFonts w:eastAsia="Calibri" w:cstheme="minorHAnsi"/>
                <w:i/>
                <w:iCs/>
                <w:color w:val="000000" w:themeColor="text1"/>
                <w:lang w:val="es"/>
              </w:rPr>
              <w:t>“por la cual se crea el Ministerio del Medio Ambiente, se reordena el Sector Público encargado de la gestión y conservación del medio ambiente y los recursos naturales renovables, se organiza el Sistema Nacional Ambiental, SINA, y se dictan otras disposiciones.”</w:t>
            </w:r>
          </w:p>
        </w:tc>
        <w:tc>
          <w:tcPr>
            <w:tcW w:w="6706" w:type="dxa"/>
          </w:tcPr>
          <w:p w14:paraId="14BE0166" w14:textId="77777777" w:rsidR="00A56ECD" w:rsidRPr="00FC5B6A" w:rsidRDefault="00A56ECD" w:rsidP="00911B3B">
            <w:pPr>
              <w:jc w:val="both"/>
              <w:rPr>
                <w:rFonts w:eastAsia="Calibri" w:cstheme="minorHAnsi"/>
                <w:i/>
                <w:iCs/>
                <w:color w:val="000000" w:themeColor="text1"/>
              </w:rPr>
            </w:pPr>
            <w:r w:rsidRPr="00FC5B6A">
              <w:rPr>
                <w:rFonts w:eastAsia="Calibri" w:cstheme="minorHAnsi"/>
                <w:i/>
                <w:iCs/>
                <w:color w:val="000000" w:themeColor="text1"/>
              </w:rPr>
              <w:t>ARTÍCULO 5. Funciones del Ministerio. Corresponde al Ministerio del Medio Ambiente:</w:t>
            </w:r>
          </w:p>
          <w:p w14:paraId="6C51A203" w14:textId="6E6EF8CF" w:rsidR="00A56ECD" w:rsidRPr="00FC5B6A" w:rsidRDefault="00A56ECD" w:rsidP="00911B3B">
            <w:pPr>
              <w:jc w:val="both"/>
              <w:rPr>
                <w:rFonts w:eastAsia="Calibri" w:cstheme="minorHAnsi"/>
                <w:i/>
                <w:iCs/>
                <w:color w:val="000000" w:themeColor="text1"/>
              </w:rPr>
            </w:pPr>
            <w:r w:rsidRPr="00FC5B6A">
              <w:rPr>
                <w:rFonts w:eastAsia="Calibri" w:cstheme="minorHAnsi"/>
                <w:i/>
                <w:iCs/>
                <w:color w:val="000000" w:themeColor="text1"/>
              </w:rPr>
              <w:t>(…) “18. Reservar, alinderar y sustraer las áreas que integran el Sistema de Parques Nacionales Naturales y las reservas forestales nacionales, y reglamentar su uso y funcionamiento;”</w:t>
            </w:r>
          </w:p>
        </w:tc>
      </w:tr>
      <w:tr w:rsidR="00A56ECD" w:rsidRPr="00FC5B6A" w14:paraId="6C1E7B7E" w14:textId="77777777" w:rsidTr="0983F672">
        <w:tc>
          <w:tcPr>
            <w:tcW w:w="2122" w:type="dxa"/>
          </w:tcPr>
          <w:p w14:paraId="335DE117" w14:textId="77777777" w:rsidR="00A56ECD" w:rsidRPr="00FC5B6A" w:rsidRDefault="00A56ECD" w:rsidP="00883282">
            <w:pPr>
              <w:jc w:val="center"/>
              <w:rPr>
                <w:rFonts w:eastAsia="Calibri" w:cstheme="minorHAnsi"/>
                <w:b/>
                <w:bCs/>
                <w:i/>
                <w:iCs/>
                <w:color w:val="000000" w:themeColor="text1"/>
                <w:lang w:val="es"/>
              </w:rPr>
            </w:pPr>
            <w:r w:rsidRPr="00FC5B6A">
              <w:rPr>
                <w:rFonts w:eastAsia="Calibri" w:cstheme="minorHAnsi"/>
                <w:b/>
                <w:bCs/>
                <w:i/>
                <w:iCs/>
                <w:color w:val="000000" w:themeColor="text1"/>
                <w:lang w:val="es"/>
              </w:rPr>
              <w:t>Ley 101 de 1993</w:t>
            </w:r>
          </w:p>
          <w:p w14:paraId="4704EDC2" w14:textId="3BD70353" w:rsidR="00A56ECD" w:rsidRPr="00FC5B6A" w:rsidRDefault="00A56ECD" w:rsidP="3C9E7864">
            <w:pPr>
              <w:jc w:val="center"/>
              <w:rPr>
                <w:rFonts w:eastAsia="Calibri"/>
                <w:i/>
                <w:iCs/>
                <w:color w:val="000000" w:themeColor="text1"/>
                <w:lang w:val="es"/>
              </w:rPr>
            </w:pPr>
          </w:p>
        </w:tc>
        <w:tc>
          <w:tcPr>
            <w:tcW w:w="6706" w:type="dxa"/>
          </w:tcPr>
          <w:p w14:paraId="4DB3666F" w14:textId="5DF5596D" w:rsidR="00A56ECD" w:rsidRPr="00FC5B6A" w:rsidRDefault="7870935E" w:rsidP="3C9E7864">
            <w:pPr>
              <w:jc w:val="center"/>
              <w:rPr>
                <w:rFonts w:eastAsia="Calibri"/>
                <w:i/>
                <w:iCs/>
                <w:color w:val="000000" w:themeColor="text1"/>
                <w:lang w:val="es"/>
              </w:rPr>
            </w:pPr>
            <w:r w:rsidRPr="00FC5B6A">
              <w:rPr>
                <w:rFonts w:eastAsia="Calibri"/>
                <w:i/>
                <w:iCs/>
                <w:color w:val="000000" w:themeColor="text1"/>
                <w:lang w:val="es"/>
              </w:rPr>
              <w:t>Ley General de Desarrollo Agropecuario y Pesquero</w:t>
            </w:r>
          </w:p>
          <w:p w14:paraId="23220B76" w14:textId="46666A6A" w:rsidR="00A56ECD" w:rsidRPr="00FC5B6A" w:rsidRDefault="00A56ECD" w:rsidP="3C9E7864">
            <w:pPr>
              <w:jc w:val="both"/>
              <w:rPr>
                <w:rFonts w:eastAsia="Calibri"/>
                <w:i/>
                <w:iCs/>
                <w:color w:val="000000" w:themeColor="text1"/>
              </w:rPr>
            </w:pPr>
          </w:p>
        </w:tc>
      </w:tr>
      <w:tr w:rsidR="00883282" w:rsidRPr="00FC5B6A" w14:paraId="7F9D5391" w14:textId="77777777" w:rsidTr="0983F672">
        <w:tc>
          <w:tcPr>
            <w:tcW w:w="2122" w:type="dxa"/>
          </w:tcPr>
          <w:p w14:paraId="2B266FA0" w14:textId="6E52DFF1" w:rsidR="00883282" w:rsidRPr="00FC5B6A" w:rsidRDefault="68DB42AF" w:rsidP="3C9E7864">
            <w:pPr>
              <w:jc w:val="center"/>
              <w:rPr>
                <w:rFonts w:eastAsia="Calibri"/>
                <w:b/>
                <w:bCs/>
                <w:i/>
                <w:iCs/>
                <w:color w:val="000000" w:themeColor="text1"/>
                <w:lang w:val="es"/>
              </w:rPr>
            </w:pPr>
            <w:r w:rsidRPr="00FC5B6A">
              <w:rPr>
                <w:rFonts w:eastAsia="Calibri"/>
                <w:b/>
                <w:bCs/>
                <w:i/>
                <w:iCs/>
                <w:color w:val="000000" w:themeColor="text1"/>
                <w:lang w:val="es"/>
              </w:rPr>
              <w:t>Ley 160 de 1994</w:t>
            </w:r>
          </w:p>
        </w:tc>
        <w:tc>
          <w:tcPr>
            <w:tcW w:w="6706" w:type="dxa"/>
          </w:tcPr>
          <w:p w14:paraId="7C951D98" w14:textId="007A562F" w:rsidR="00883282" w:rsidRPr="00FC5B6A" w:rsidRDefault="0983F672" w:rsidP="0983F672">
            <w:pPr>
              <w:jc w:val="both"/>
              <w:rPr>
                <w:rFonts w:eastAsia="Calibri"/>
                <w:color w:val="000000" w:themeColor="text1"/>
                <w:lang w:val="es"/>
              </w:rPr>
            </w:pPr>
            <w:r w:rsidRPr="00FC5B6A">
              <w:rPr>
                <w:rFonts w:eastAsia="Calibri"/>
                <w:color w:val="000000" w:themeColor="text1"/>
                <w:lang w:val="es"/>
              </w:rPr>
              <w:t>“Por la cual se crea el Sistema Nacional de Reforma Agraria y Desarrollo Rural Campesino, se establece un subsidio para la adquisición de tierras, se reforma el Instituto Colombiano de la Reforma Agraria y se dictan otras disposiciones.”</w:t>
            </w:r>
          </w:p>
        </w:tc>
      </w:tr>
      <w:tr w:rsidR="3C9E7864" w:rsidRPr="00FC5B6A" w14:paraId="474DEF7E" w14:textId="77777777" w:rsidTr="0983F672">
        <w:trPr>
          <w:trHeight w:val="300"/>
        </w:trPr>
        <w:tc>
          <w:tcPr>
            <w:tcW w:w="2122" w:type="dxa"/>
            <w:vAlign w:val="center"/>
          </w:tcPr>
          <w:p w14:paraId="6428F584" w14:textId="2A2FF8DE" w:rsidR="64E9BB1D" w:rsidRPr="00FC5B6A" w:rsidRDefault="64E9BB1D" w:rsidP="3C9E7864">
            <w:pPr>
              <w:jc w:val="center"/>
              <w:rPr>
                <w:rFonts w:eastAsia="Calibri"/>
                <w:b/>
                <w:bCs/>
                <w:i/>
                <w:iCs/>
                <w:color w:val="000000" w:themeColor="text1"/>
              </w:rPr>
            </w:pPr>
            <w:r w:rsidRPr="00FC5B6A">
              <w:rPr>
                <w:rFonts w:eastAsia="Calibri"/>
                <w:b/>
                <w:bCs/>
                <w:i/>
                <w:iCs/>
                <w:color w:val="000000" w:themeColor="text1"/>
              </w:rPr>
              <w:t>Ley 1448 de 2011</w:t>
            </w:r>
          </w:p>
        </w:tc>
        <w:tc>
          <w:tcPr>
            <w:tcW w:w="6706" w:type="dxa"/>
          </w:tcPr>
          <w:p w14:paraId="7E8DBE18" w14:textId="50DE8A3C" w:rsidR="24AE77BA" w:rsidRPr="00FC5B6A" w:rsidRDefault="0983F672" w:rsidP="0983F672">
            <w:pPr>
              <w:jc w:val="both"/>
            </w:pPr>
            <w:r w:rsidRPr="00FC5B6A">
              <w:t>"Por la cual se dictan medidas de atención, asistencia y reparación integral a las víctimas del conflicto armado interno y se dictan otras disposiciones."</w:t>
            </w:r>
          </w:p>
        </w:tc>
      </w:tr>
      <w:tr w:rsidR="00053C95" w:rsidRPr="00FC5B6A" w14:paraId="5550CAE6" w14:textId="77777777" w:rsidTr="0983F672">
        <w:tc>
          <w:tcPr>
            <w:tcW w:w="2122" w:type="dxa"/>
            <w:vAlign w:val="center"/>
          </w:tcPr>
          <w:p w14:paraId="666D31B5" w14:textId="77777777" w:rsidR="00053C95" w:rsidRPr="00FC5B6A" w:rsidRDefault="00053C95" w:rsidP="00883282">
            <w:pPr>
              <w:jc w:val="center"/>
              <w:rPr>
                <w:rFonts w:eastAsia="Calibri" w:cstheme="minorHAnsi"/>
                <w:b/>
                <w:bCs/>
                <w:i/>
                <w:iCs/>
                <w:color w:val="000000" w:themeColor="text1"/>
              </w:rPr>
            </w:pPr>
            <w:r w:rsidRPr="00FC5B6A">
              <w:rPr>
                <w:rFonts w:eastAsia="Calibri" w:cstheme="minorHAnsi"/>
                <w:b/>
                <w:bCs/>
                <w:i/>
                <w:iCs/>
                <w:color w:val="000000" w:themeColor="text1"/>
              </w:rPr>
              <w:lastRenderedPageBreak/>
              <w:t>Decreto 3570 de 2011</w:t>
            </w:r>
          </w:p>
          <w:p w14:paraId="3590FA27" w14:textId="0618EAF0" w:rsidR="00053C95" w:rsidRPr="00FC5B6A" w:rsidRDefault="00053C95" w:rsidP="00883282">
            <w:pPr>
              <w:jc w:val="center"/>
              <w:rPr>
                <w:rFonts w:cstheme="minorHAnsi"/>
              </w:rPr>
            </w:pPr>
            <w:r w:rsidRPr="00FC5B6A">
              <w:rPr>
                <w:rFonts w:eastAsia="Calibri" w:cstheme="minorHAnsi"/>
                <w:i/>
                <w:iCs/>
                <w:color w:val="000000" w:themeColor="text1"/>
              </w:rPr>
              <w:t>“Por el cual se modifican los objetivos y la estructura del Ministerio de Ambiente y Desarrollo Sostenible y se integra el Sector Administrativo de Ambiente y Desarrollo Sostenible.”</w:t>
            </w:r>
          </w:p>
        </w:tc>
        <w:tc>
          <w:tcPr>
            <w:tcW w:w="6706" w:type="dxa"/>
          </w:tcPr>
          <w:p w14:paraId="15D9885B" w14:textId="71FA8836" w:rsidR="00053C95" w:rsidRPr="00FC5B6A" w:rsidRDefault="0983F672" w:rsidP="0983F672">
            <w:pPr>
              <w:jc w:val="both"/>
            </w:pPr>
            <w:r w:rsidRPr="00FC5B6A">
              <w:rPr>
                <w:rFonts w:eastAsia="Calibri"/>
                <w:color w:val="000000" w:themeColor="text1"/>
              </w:rPr>
              <w:t>Art 2. Funciones del Ministerio de ambiente y Desarrollo Sostenible (numeral 14). “</w:t>
            </w:r>
            <w:r w:rsidRPr="00FC5B6A">
              <w:rPr>
                <w:rFonts w:eastAsia="Calibri"/>
                <w:i/>
                <w:iCs/>
                <w:color w:val="000000" w:themeColor="text1"/>
              </w:rPr>
              <w:t>Reservar y alinderar las áreas que integran el Sistema de Parques Nacionales Naturales; declarar, reservar, alinderar, re alinderar, sustraer, integrar o recategorizar las áreas de reserva forestal nacionales, reglamentar su uso y funcionamiento; y declarar y sustraer Distritos Nacionales de Manejo Integrado. Las corporaciones autónomas regionales en desarrollo de su competencia de administrar las reservas forestales nacionales, de conformidad con lo dispuesto en el artículo 31 de la Ley 99 de 1993, realizarán los estudios técnicos, ambientales y socioeconómicos para los fines previstos en el presente numeral, con base en los lineamientos establecidos por este Ministerio”</w:t>
            </w:r>
          </w:p>
        </w:tc>
      </w:tr>
      <w:tr w:rsidR="3C9E7864" w:rsidRPr="00FC5B6A" w14:paraId="32019DDC" w14:textId="77777777" w:rsidTr="0983F672">
        <w:trPr>
          <w:trHeight w:val="300"/>
        </w:trPr>
        <w:tc>
          <w:tcPr>
            <w:tcW w:w="2122" w:type="dxa"/>
            <w:vAlign w:val="center"/>
          </w:tcPr>
          <w:p w14:paraId="0884B096" w14:textId="2E44CA0B" w:rsidR="25FF13A3" w:rsidRPr="00FC5B6A" w:rsidRDefault="25FF13A3" w:rsidP="3C9E7864">
            <w:pPr>
              <w:jc w:val="center"/>
              <w:rPr>
                <w:rFonts w:eastAsia="Calibri"/>
                <w:b/>
                <w:bCs/>
                <w:i/>
                <w:iCs/>
                <w:color w:val="000000" w:themeColor="text1"/>
              </w:rPr>
            </w:pPr>
            <w:r w:rsidRPr="00FC5B6A">
              <w:rPr>
                <w:rFonts w:eastAsia="Calibri"/>
                <w:b/>
                <w:bCs/>
                <w:i/>
                <w:iCs/>
                <w:color w:val="000000" w:themeColor="text1"/>
              </w:rPr>
              <w:t>Resolución 0629 de 2012</w:t>
            </w:r>
          </w:p>
        </w:tc>
        <w:tc>
          <w:tcPr>
            <w:tcW w:w="6706" w:type="dxa"/>
          </w:tcPr>
          <w:p w14:paraId="20FC0F74" w14:textId="583FD9CB" w:rsidR="25FF13A3" w:rsidRPr="00FC5B6A" w:rsidRDefault="0983F672" w:rsidP="0983F672">
            <w:pPr>
              <w:jc w:val="both"/>
            </w:pPr>
            <w:r w:rsidRPr="00FC5B6A">
              <w:t xml:space="preserve">Por la cual se establecen los requisitos y el procedimiento para la sustracción de áreas de reserva forestal establecidas mediante la Ley 2ª de 1959 para programas de reforma agraria y desarrollo rural de que trata la Ley 160 de 1994, orientados a la economía campesina, y para la restitución jurídica y material de las tierras a las </w:t>
            </w:r>
            <w:proofErr w:type="spellStart"/>
            <w:r w:rsidRPr="00FC5B6A">
              <w:t>victimas</w:t>
            </w:r>
            <w:proofErr w:type="spellEnd"/>
            <w:r w:rsidRPr="00FC5B6A">
              <w:t>, en el marco de la Ley 1448 de 2011, para las áreas que pueden ser utilizadas en explotación diferente a la forestal, según la reglamentación de su uso y funcionamiento.</w:t>
            </w:r>
          </w:p>
        </w:tc>
      </w:tr>
      <w:tr w:rsidR="00883282" w:rsidRPr="00FC5B6A" w14:paraId="257A23B7" w14:textId="77777777" w:rsidTr="0983F672">
        <w:tc>
          <w:tcPr>
            <w:tcW w:w="2122" w:type="dxa"/>
            <w:vAlign w:val="center"/>
          </w:tcPr>
          <w:p w14:paraId="4769D747" w14:textId="77777777" w:rsidR="00883282" w:rsidRPr="00FC5B6A" w:rsidRDefault="00883282" w:rsidP="00883282">
            <w:pPr>
              <w:jc w:val="center"/>
              <w:rPr>
                <w:rFonts w:eastAsia="Calibri" w:cstheme="minorHAnsi"/>
                <w:b/>
                <w:bCs/>
                <w:i/>
                <w:iCs/>
                <w:color w:val="000000" w:themeColor="text1"/>
              </w:rPr>
            </w:pPr>
            <w:r w:rsidRPr="00FC5B6A">
              <w:rPr>
                <w:rFonts w:eastAsia="Calibri" w:cstheme="minorHAnsi"/>
                <w:b/>
                <w:bCs/>
                <w:i/>
                <w:iCs/>
                <w:color w:val="000000" w:themeColor="text1"/>
              </w:rPr>
              <w:t>Ley 1450 de 2011</w:t>
            </w:r>
          </w:p>
          <w:p w14:paraId="6FB052A7" w14:textId="56FA9912" w:rsidR="00883282" w:rsidRPr="00FC5B6A" w:rsidRDefault="00843AA1" w:rsidP="00883282">
            <w:pPr>
              <w:jc w:val="center"/>
              <w:rPr>
                <w:rFonts w:eastAsia="Calibri" w:cstheme="minorHAnsi"/>
                <w:i/>
                <w:iCs/>
                <w:color w:val="000000" w:themeColor="text1"/>
              </w:rPr>
            </w:pPr>
            <w:r w:rsidRPr="00FC5B6A">
              <w:rPr>
                <w:rFonts w:eastAsia="Calibri" w:cstheme="minorHAnsi"/>
                <w:i/>
                <w:iCs/>
                <w:color w:val="000000" w:themeColor="text1"/>
              </w:rPr>
              <w:t>“Por la cual se expide el Plan Nacional de Desarrollo, 2010-2014.”</w:t>
            </w:r>
          </w:p>
        </w:tc>
        <w:tc>
          <w:tcPr>
            <w:tcW w:w="6706" w:type="dxa"/>
          </w:tcPr>
          <w:p w14:paraId="637C7733" w14:textId="6797DB97" w:rsidR="00843AA1" w:rsidRPr="00FC5B6A" w:rsidRDefault="0983F672" w:rsidP="0983F672">
            <w:pPr>
              <w:jc w:val="both"/>
              <w:rPr>
                <w:rFonts w:eastAsia="Calibri"/>
                <w:i/>
                <w:iCs/>
                <w:color w:val="000000" w:themeColor="text1"/>
              </w:rPr>
            </w:pPr>
            <w:r w:rsidRPr="00FC5B6A">
              <w:rPr>
                <w:rFonts w:eastAsia="Calibri"/>
                <w:i/>
                <w:iCs/>
                <w:color w:val="000000" w:themeColor="text1"/>
              </w:rPr>
              <w:t>ARTÍCULO 202.” Delimitación de Ecosistemas de Páramos y Humedales. Los ecosistemas de páramos y humedales deberán ser delimitados a escala 1:25.000 con base en estudios técnicos, económicos, sociales y ambientales adoptados por el Ministerio de Ambiente, Vivienda y Desarrollo Territorial o quien haga sus veces. La delimitación será adoptada por dicha entidad mediante acto administrativo.</w:t>
            </w:r>
          </w:p>
          <w:p w14:paraId="0F4A22DD" w14:textId="0CED8F53" w:rsidR="00843AA1" w:rsidRPr="00FC5B6A" w:rsidRDefault="0983F672" w:rsidP="0983F672">
            <w:pPr>
              <w:jc w:val="both"/>
              <w:rPr>
                <w:rFonts w:eastAsia="Calibri"/>
                <w:i/>
                <w:iCs/>
                <w:color w:val="000000" w:themeColor="text1"/>
              </w:rPr>
            </w:pPr>
            <w:r w:rsidRPr="00FC5B6A">
              <w:rPr>
                <w:rFonts w:eastAsia="Calibri"/>
                <w:i/>
                <w:iCs/>
                <w:color w:val="000000" w:themeColor="text1"/>
              </w:rPr>
              <w:t>Las Corporaciones Autónomas Regionales, las de Desarrollo Sostenible, los grandes centros urbanos y los Establecimientos Públicos Ambientales realizarán el proceso de zonificación, ordenamiento y determinación del régimen de usos de estos ecosistemas, con fundamento en dicha delimitación, de acuerdo con las normas de carácter superior y conforme a los criterios y directrices trazados por el Ministerio de Ambiente, Vivienda y Desarrollo Territorial o quien haga sus veces. Para lo anterior, tendrán un plazo de hasta tres (3) años a partir de que se cuente con la delimitación.</w:t>
            </w:r>
          </w:p>
          <w:p w14:paraId="624F8FAE" w14:textId="44C81350" w:rsidR="00843AA1" w:rsidRPr="00FC5B6A" w:rsidRDefault="0983F672" w:rsidP="0983F672">
            <w:pPr>
              <w:jc w:val="both"/>
              <w:rPr>
                <w:rFonts w:eastAsia="Calibri"/>
                <w:i/>
                <w:iCs/>
                <w:color w:val="000000" w:themeColor="text1"/>
              </w:rPr>
            </w:pPr>
            <w:r w:rsidRPr="00FC5B6A">
              <w:rPr>
                <w:rFonts w:eastAsia="Calibri"/>
                <w:i/>
                <w:iCs/>
                <w:color w:val="000000" w:themeColor="text1"/>
              </w:rPr>
              <w:t xml:space="preserve">PARÁGRAFO 1. En los ecosistemas de páramos no se podrán adelantar actividades agropecuarias, ni de exploración o explotación de hidrocarburos y minerales, ni construcción de refinerías de hidrocarburos. Para tales efectos se considera como referencia mínima la cartografía contenida en el Atlas de Páramos de Colombia del Instituto de Investigación Alexander </w:t>
            </w:r>
            <w:proofErr w:type="spellStart"/>
            <w:r w:rsidRPr="00FC5B6A">
              <w:rPr>
                <w:rFonts w:eastAsia="Calibri"/>
                <w:i/>
                <w:iCs/>
                <w:color w:val="000000" w:themeColor="text1"/>
              </w:rPr>
              <w:t>von</w:t>
            </w:r>
            <w:proofErr w:type="spellEnd"/>
            <w:r w:rsidRPr="00FC5B6A">
              <w:rPr>
                <w:rFonts w:eastAsia="Calibri"/>
                <w:i/>
                <w:iCs/>
                <w:color w:val="000000" w:themeColor="text1"/>
              </w:rPr>
              <w:t xml:space="preserve"> Humboldt, hasta tanto se cuente con cartografía a escala más detallada.</w:t>
            </w:r>
          </w:p>
          <w:p w14:paraId="111E15B8" w14:textId="240D4915" w:rsidR="00843AA1" w:rsidRPr="00FC5B6A" w:rsidRDefault="0983F672" w:rsidP="0983F672">
            <w:pPr>
              <w:jc w:val="both"/>
              <w:rPr>
                <w:rFonts w:eastAsia="Calibri"/>
                <w:i/>
                <w:iCs/>
                <w:color w:val="000000" w:themeColor="text1"/>
              </w:rPr>
            </w:pPr>
            <w:r w:rsidRPr="00FC5B6A">
              <w:rPr>
                <w:rFonts w:eastAsia="Calibri"/>
                <w:i/>
                <w:iCs/>
                <w:color w:val="000000" w:themeColor="text1"/>
              </w:rPr>
              <w:t xml:space="preserve">PARÁGRAFO 2. En los ecosistemas de humedales se podrán restringir parcial o totalmente las actividades agropecuarias, de exploración de alto </w:t>
            </w:r>
            <w:r w:rsidRPr="00FC5B6A">
              <w:rPr>
                <w:rFonts w:eastAsia="Calibri"/>
                <w:i/>
                <w:iCs/>
                <w:color w:val="000000" w:themeColor="text1"/>
              </w:rPr>
              <w:lastRenderedPageBreak/>
              <w:t>impacto y explotación de hidrocarburos y minerales con base en estudios técnicos, económicos, sociales y ambientales adoptados por el Ministerio de Ambiente, Vivienda y Desarrollo Territorial o quien haga sus veces. El Gobierno Nacional dentro de los noventa (90) días calendario siguientes a la expedición de esta Ley reglamentará los criterios y procedimientos para el efecto. En todo caso, en humedales designados dentro de la lista de importancia internacional de la convención RAMSAR no se podrán adelantar dichas actividades”.</w:t>
            </w:r>
          </w:p>
          <w:p w14:paraId="285C55C3" w14:textId="77777777" w:rsidR="00843AA1" w:rsidRPr="00FC5B6A" w:rsidRDefault="00843AA1" w:rsidP="0983F672">
            <w:pPr>
              <w:jc w:val="both"/>
              <w:rPr>
                <w:rFonts w:eastAsia="Calibri"/>
                <w:i/>
                <w:iCs/>
                <w:color w:val="000000" w:themeColor="text1"/>
              </w:rPr>
            </w:pPr>
          </w:p>
          <w:p w14:paraId="55B35FA1" w14:textId="474A3D3B" w:rsidR="00843AA1" w:rsidRPr="00FC5B6A" w:rsidRDefault="0983F672" w:rsidP="0983F672">
            <w:pPr>
              <w:jc w:val="both"/>
              <w:rPr>
                <w:rFonts w:eastAsia="Calibri"/>
                <w:i/>
                <w:iCs/>
                <w:color w:val="000000" w:themeColor="text1"/>
              </w:rPr>
            </w:pPr>
            <w:r w:rsidRPr="00FC5B6A">
              <w:rPr>
                <w:rFonts w:eastAsia="Calibri"/>
                <w:i/>
                <w:iCs/>
                <w:color w:val="000000" w:themeColor="text1"/>
              </w:rPr>
              <w:t>ARTÍCULO 203. Áreas forestales. “Modifíquese el artículo 202 del Decreto-ley 2811 de 1974, el cual quedará de la siguiente manera:</w:t>
            </w:r>
          </w:p>
          <w:p w14:paraId="32122837" w14:textId="33F42C4E" w:rsidR="00843AA1" w:rsidRPr="00FC5B6A" w:rsidRDefault="0983F672" w:rsidP="0983F672">
            <w:pPr>
              <w:jc w:val="both"/>
              <w:rPr>
                <w:rFonts w:eastAsia="Calibri"/>
                <w:i/>
                <w:iCs/>
                <w:color w:val="000000" w:themeColor="text1"/>
              </w:rPr>
            </w:pPr>
            <w:r w:rsidRPr="00FC5B6A">
              <w:rPr>
                <w:rFonts w:eastAsia="Calibri"/>
                <w:i/>
                <w:iCs/>
                <w:color w:val="000000" w:themeColor="text1"/>
              </w:rPr>
              <w:t xml:space="preserve">"ARTÍCULO 202. El presente título regula el manejo de los suelos forestales por su naturaleza y de los bosques que contienen, </w:t>
            </w:r>
            <w:proofErr w:type="gramStart"/>
            <w:r w:rsidRPr="00FC5B6A">
              <w:rPr>
                <w:rFonts w:eastAsia="Calibri"/>
                <w:i/>
                <w:iCs/>
                <w:color w:val="000000" w:themeColor="text1"/>
              </w:rPr>
              <w:t>que</w:t>
            </w:r>
            <w:proofErr w:type="gramEnd"/>
            <w:r w:rsidRPr="00FC5B6A">
              <w:rPr>
                <w:rFonts w:eastAsia="Calibri"/>
                <w:i/>
                <w:iCs/>
                <w:color w:val="000000" w:themeColor="text1"/>
              </w:rPr>
              <w:t xml:space="preserve"> para los efectos del presente código, se denominan áreas forestales.</w:t>
            </w:r>
          </w:p>
          <w:p w14:paraId="11DF1441" w14:textId="609297A6" w:rsidR="00843AA1" w:rsidRPr="00FC5B6A" w:rsidRDefault="0983F672" w:rsidP="0983F672">
            <w:pPr>
              <w:jc w:val="both"/>
              <w:rPr>
                <w:rFonts w:eastAsia="Calibri"/>
                <w:i/>
                <w:iCs/>
                <w:color w:val="000000" w:themeColor="text1"/>
              </w:rPr>
            </w:pPr>
            <w:r w:rsidRPr="00FC5B6A">
              <w:rPr>
                <w:rFonts w:eastAsia="Calibri"/>
                <w:i/>
                <w:iCs/>
                <w:color w:val="000000" w:themeColor="text1"/>
              </w:rPr>
              <w:t>Las áreas forestales podrán ser protectoras y productoras.</w:t>
            </w:r>
          </w:p>
          <w:p w14:paraId="3503B026" w14:textId="134EEF7A" w:rsidR="00843AA1" w:rsidRPr="00FC5B6A" w:rsidRDefault="0983F672" w:rsidP="0983F672">
            <w:pPr>
              <w:jc w:val="both"/>
              <w:rPr>
                <w:rFonts w:eastAsia="Calibri"/>
                <w:i/>
                <w:iCs/>
                <w:color w:val="000000" w:themeColor="text1"/>
              </w:rPr>
            </w:pPr>
            <w:r w:rsidRPr="00FC5B6A">
              <w:rPr>
                <w:rFonts w:eastAsia="Calibri"/>
                <w:i/>
                <w:iCs/>
                <w:color w:val="000000" w:themeColor="text1"/>
              </w:rPr>
              <w:t>La naturaleza forestal de los suelos será determinada con base en estudios técnicos, ambientales y socioeconómicos adoptados por el Ministerio de Ambiente, Vivienda y Desarrollo Territorial o quien haga sus veces.</w:t>
            </w:r>
          </w:p>
          <w:p w14:paraId="670EBD95" w14:textId="51AE921D" w:rsidR="00843AA1" w:rsidRPr="00FC5B6A" w:rsidRDefault="0983F672" w:rsidP="0983F672">
            <w:pPr>
              <w:jc w:val="both"/>
              <w:rPr>
                <w:rFonts w:eastAsia="Calibri"/>
                <w:i/>
                <w:iCs/>
                <w:color w:val="000000" w:themeColor="text1"/>
              </w:rPr>
            </w:pPr>
            <w:r w:rsidRPr="00FC5B6A">
              <w:rPr>
                <w:rFonts w:eastAsia="Calibri"/>
                <w:i/>
                <w:iCs/>
                <w:color w:val="000000" w:themeColor="text1"/>
              </w:rPr>
              <w:t>Corresponde a las Corporaciones Autónomas Regionales, bajo la coordinación del Ministerio de Ambiente, Vivienda y Desarrollo Territorial o quien haga sus veces, realizar la clasificación, ordenamiento y zonificación y, determinar el régimen de usos de las áreas forestales en el territorio nacional, salvo las que se encuentren en las áreas de reserva forestal nacional y en áreas que conforman el sistema de parques nacionales naturales".</w:t>
            </w:r>
          </w:p>
          <w:p w14:paraId="31283BB3" w14:textId="77777777" w:rsidR="00843AA1" w:rsidRPr="00FC5B6A" w:rsidRDefault="00843AA1" w:rsidP="0983F672">
            <w:pPr>
              <w:jc w:val="both"/>
              <w:rPr>
                <w:rFonts w:eastAsia="Calibri"/>
                <w:i/>
                <w:iCs/>
                <w:color w:val="000000" w:themeColor="text1"/>
              </w:rPr>
            </w:pPr>
          </w:p>
          <w:p w14:paraId="1022D62C" w14:textId="1F9CB57C" w:rsidR="00843AA1" w:rsidRPr="00FC5B6A" w:rsidRDefault="0983F672" w:rsidP="0983F672">
            <w:pPr>
              <w:jc w:val="both"/>
              <w:rPr>
                <w:rFonts w:eastAsia="Calibri"/>
                <w:i/>
                <w:iCs/>
                <w:color w:val="000000" w:themeColor="text1"/>
              </w:rPr>
            </w:pPr>
            <w:r w:rsidRPr="00FC5B6A">
              <w:rPr>
                <w:rFonts w:eastAsia="Calibri"/>
                <w:i/>
                <w:iCs/>
                <w:color w:val="000000" w:themeColor="text1"/>
              </w:rPr>
              <w:t>ARTÍCULO 204. “Áreas de reserva forestal. Las áreas de reserva forestal podrán ser protectoras o productoras. Las áreas de reserva forestal protectoras nacionales son áreas protegidas y hacen parte del Sistema Nacional de Áreas Protegidas.</w:t>
            </w:r>
          </w:p>
          <w:p w14:paraId="4176B4DC" w14:textId="4205A7B6" w:rsidR="00843AA1" w:rsidRPr="00FC5B6A" w:rsidRDefault="0983F672" w:rsidP="0983F672">
            <w:pPr>
              <w:jc w:val="both"/>
              <w:rPr>
                <w:rFonts w:eastAsia="Calibri"/>
                <w:i/>
                <w:iCs/>
                <w:color w:val="000000" w:themeColor="text1"/>
              </w:rPr>
            </w:pPr>
            <w:r w:rsidRPr="00FC5B6A">
              <w:rPr>
                <w:rFonts w:eastAsia="Calibri"/>
                <w:i/>
                <w:iCs/>
                <w:color w:val="000000" w:themeColor="text1"/>
              </w:rPr>
              <w:t xml:space="preserve">Las autoridades ambientales, en el marco de sus competencias, y con base en estudios técnicos, económicos, sociales y ambientales adoptados por el Ministerio de Ambiente, Vivienda y Desarrollo Territorial, podrán declarar, reservar, alinderar, re alinderar, sustraer, integrar o </w:t>
            </w:r>
            <w:proofErr w:type="gramStart"/>
            <w:r w:rsidRPr="00FC5B6A">
              <w:rPr>
                <w:rFonts w:eastAsia="Calibri"/>
                <w:i/>
                <w:iCs/>
                <w:color w:val="000000" w:themeColor="text1"/>
              </w:rPr>
              <w:t>re categorizarlas</w:t>
            </w:r>
            <w:proofErr w:type="gramEnd"/>
            <w:r w:rsidRPr="00FC5B6A">
              <w:rPr>
                <w:rFonts w:eastAsia="Calibri"/>
                <w:i/>
                <w:iCs/>
                <w:color w:val="000000" w:themeColor="text1"/>
              </w:rPr>
              <w:t xml:space="preserve"> áreas de reserva forestal. En los casos en que proceda la sustracción de las áreas de reserva forestal, sea esta temporal o definitiva, la autoridad ambiental competente impondrá al interesado en la sustracción, las medidas de compensación, restauración y recuperación a que haya lugar, sin perjuicio de las que sean impuestas en virtud del desarrollo de la actividad que se pretenda desarrollar en el área sustraída. Para el caso de sustracción temporal, las compensaciones se establecerán de acuerdo con el área afectada.</w:t>
            </w:r>
          </w:p>
          <w:p w14:paraId="201DEB3F" w14:textId="682281C5" w:rsidR="00843AA1" w:rsidRPr="00FC5B6A" w:rsidRDefault="0983F672" w:rsidP="0983F672">
            <w:pPr>
              <w:jc w:val="both"/>
              <w:rPr>
                <w:rFonts w:eastAsia="Calibri"/>
                <w:i/>
                <w:iCs/>
                <w:color w:val="000000" w:themeColor="text1"/>
              </w:rPr>
            </w:pPr>
            <w:r w:rsidRPr="00FC5B6A">
              <w:rPr>
                <w:rFonts w:eastAsia="Calibri"/>
                <w:i/>
                <w:iCs/>
                <w:color w:val="000000" w:themeColor="text1"/>
              </w:rPr>
              <w:t xml:space="preserve">PARÁGRAFO 1. En las áreas de reserva forestal protectoras no se podrán desarrollar actividades mineras, ni se podrán sustraer para ese fin. Las actividades que se pretendan desarrollar en estas </w:t>
            </w:r>
            <w:proofErr w:type="gramStart"/>
            <w:r w:rsidRPr="00FC5B6A">
              <w:rPr>
                <w:rFonts w:eastAsia="Calibri"/>
                <w:i/>
                <w:iCs/>
                <w:color w:val="000000" w:themeColor="text1"/>
              </w:rPr>
              <w:t>áreas,</w:t>
            </w:r>
            <w:proofErr w:type="gramEnd"/>
            <w:r w:rsidRPr="00FC5B6A">
              <w:rPr>
                <w:rFonts w:eastAsia="Calibri"/>
                <w:i/>
                <w:iCs/>
                <w:color w:val="000000" w:themeColor="text1"/>
              </w:rPr>
              <w:t xml:space="preserve"> deben estar en consonancia con el régimen de usos previsto para el efecto, conforme a la </w:t>
            </w:r>
            <w:r w:rsidRPr="00FC5B6A">
              <w:rPr>
                <w:rFonts w:eastAsia="Calibri"/>
                <w:i/>
                <w:iCs/>
                <w:color w:val="000000" w:themeColor="text1"/>
              </w:rPr>
              <w:lastRenderedPageBreak/>
              <w:t>regulación que expida el Ministerio de Ambiente, Vivienda y Desarrollo Territorial sobre la materia.</w:t>
            </w:r>
          </w:p>
          <w:p w14:paraId="36D6A60E" w14:textId="77777777" w:rsidR="00843AA1" w:rsidRPr="00FC5B6A" w:rsidRDefault="0983F672" w:rsidP="0983F672">
            <w:pPr>
              <w:jc w:val="both"/>
              <w:rPr>
                <w:rFonts w:eastAsia="Calibri"/>
                <w:i/>
                <w:iCs/>
                <w:color w:val="000000" w:themeColor="text1"/>
              </w:rPr>
            </w:pPr>
            <w:r w:rsidRPr="00FC5B6A">
              <w:rPr>
                <w:rFonts w:eastAsia="Calibri"/>
                <w:i/>
                <w:iCs/>
                <w:color w:val="000000" w:themeColor="text1"/>
              </w:rPr>
              <w:t xml:space="preserve">PARÁGRAFO 2. El Ministerio de Ambiente, Vivienda y Desarrollo Territorial o quien haga sus veces señalará las actividades que ocasionen bajo impacto ambiental y </w:t>
            </w:r>
            <w:proofErr w:type="gramStart"/>
            <w:r w:rsidRPr="00FC5B6A">
              <w:rPr>
                <w:rFonts w:eastAsia="Calibri"/>
                <w:i/>
                <w:iCs/>
                <w:color w:val="000000" w:themeColor="text1"/>
              </w:rPr>
              <w:t>que</w:t>
            </w:r>
            <w:proofErr w:type="gramEnd"/>
            <w:r w:rsidRPr="00FC5B6A">
              <w:rPr>
                <w:rFonts w:eastAsia="Calibri"/>
                <w:i/>
                <w:iCs/>
                <w:color w:val="000000" w:themeColor="text1"/>
              </w:rPr>
              <w:t xml:space="preserve"> además, generen beneficio social, de manera tal que se pueden desarrollar en las áreas de reserva forestal, sin necesidad de efectuar la sustracción de </w:t>
            </w:r>
            <w:proofErr w:type="gramStart"/>
            <w:r w:rsidRPr="00FC5B6A">
              <w:rPr>
                <w:rFonts w:eastAsia="Calibri"/>
                <w:i/>
                <w:iCs/>
                <w:color w:val="000000" w:themeColor="text1"/>
              </w:rPr>
              <w:t>las mismas</w:t>
            </w:r>
            <w:proofErr w:type="gramEnd"/>
            <w:r w:rsidRPr="00FC5B6A">
              <w:rPr>
                <w:rFonts w:eastAsia="Calibri"/>
                <w:i/>
                <w:iCs/>
                <w:color w:val="000000" w:themeColor="text1"/>
              </w:rPr>
              <w:t>. Así mismo, establecerá las condiciones y las medidas de manejo ambiental requeridas para adelantar dichas actividades.</w:t>
            </w:r>
          </w:p>
          <w:p w14:paraId="5A5FBA47" w14:textId="0A331A3A" w:rsidR="00883282" w:rsidRPr="00FC5B6A" w:rsidRDefault="0983F672" w:rsidP="0983F672">
            <w:pPr>
              <w:jc w:val="both"/>
              <w:rPr>
                <w:rFonts w:eastAsia="Calibri"/>
                <w:i/>
                <w:iCs/>
                <w:color w:val="000000" w:themeColor="text1"/>
              </w:rPr>
            </w:pPr>
            <w:r w:rsidRPr="00FC5B6A">
              <w:rPr>
                <w:rFonts w:eastAsia="Calibri"/>
                <w:i/>
                <w:iCs/>
                <w:color w:val="000000" w:themeColor="text1"/>
              </w:rPr>
              <w:t xml:space="preserve">PARÁGRAFO 3. Las áreas de reserva forestal establecidas por el artículo 1 de la Ley 2ª de 1959 y las demás áreas de reserva forestal nacionales, únicamente podrán ser objeto de </w:t>
            </w:r>
            <w:proofErr w:type="spellStart"/>
            <w:r w:rsidRPr="00FC5B6A">
              <w:rPr>
                <w:rFonts w:eastAsia="Calibri"/>
                <w:i/>
                <w:iCs/>
                <w:color w:val="000000" w:themeColor="text1"/>
              </w:rPr>
              <w:t>realinderación</w:t>
            </w:r>
            <w:proofErr w:type="spellEnd"/>
            <w:r w:rsidRPr="00FC5B6A">
              <w:rPr>
                <w:rFonts w:eastAsia="Calibri"/>
                <w:i/>
                <w:iCs/>
                <w:color w:val="000000" w:themeColor="text1"/>
              </w:rPr>
              <w:t>, sustracción, zonificación, ordenamiento, re categorización, incorporación, integración y definición del régimen de usos, por parte del Ministerio de Ambiente, Vivienda y Desarrollo Territorial o la entidad que haga sus veces con base en estudios técnicos, económicos, sociales y ambientales y con la colaboración del Ministerio respectivo según el área de interés de que se trate”.</w:t>
            </w:r>
          </w:p>
        </w:tc>
      </w:tr>
      <w:tr w:rsidR="00475432" w:rsidRPr="00FC5B6A" w14:paraId="50DBB575" w14:textId="77777777" w:rsidTr="0983F672">
        <w:tc>
          <w:tcPr>
            <w:tcW w:w="2122" w:type="dxa"/>
          </w:tcPr>
          <w:p w14:paraId="7D660376" w14:textId="043A0CE1" w:rsidR="00475432" w:rsidRPr="00FC5B6A" w:rsidRDefault="5C43F3BD" w:rsidP="3C9E7864">
            <w:pPr>
              <w:jc w:val="center"/>
              <w:rPr>
                <w:rFonts w:eastAsia="Calibri"/>
                <w:b/>
                <w:bCs/>
                <w:color w:val="000000" w:themeColor="text1"/>
                <w:lang w:val="es"/>
              </w:rPr>
            </w:pPr>
            <w:r w:rsidRPr="00FC5B6A">
              <w:rPr>
                <w:rFonts w:eastAsia="Calibri"/>
                <w:b/>
                <w:bCs/>
                <w:color w:val="000000" w:themeColor="text1"/>
                <w:lang w:val="es"/>
              </w:rPr>
              <w:lastRenderedPageBreak/>
              <w:t>Ley 1753 de 2015</w:t>
            </w:r>
          </w:p>
          <w:p w14:paraId="19B497AA" w14:textId="0D4E3FB8" w:rsidR="00475432" w:rsidRPr="00FC5B6A" w:rsidRDefault="5C43F3BD" w:rsidP="3C9E7864">
            <w:pPr>
              <w:jc w:val="center"/>
              <w:rPr>
                <w:i/>
                <w:iCs/>
                <w:lang w:val="es"/>
              </w:rPr>
            </w:pPr>
            <w:r w:rsidRPr="00FC5B6A">
              <w:rPr>
                <w:i/>
                <w:iCs/>
                <w:lang w:val="es"/>
              </w:rPr>
              <w:t>Por la cual se expide el Plan Nacional de Desarrollo 2014-2018 “Todos por un nuevo país”.</w:t>
            </w:r>
          </w:p>
        </w:tc>
        <w:tc>
          <w:tcPr>
            <w:tcW w:w="6706" w:type="dxa"/>
          </w:tcPr>
          <w:p w14:paraId="61D33891" w14:textId="1ECE363A" w:rsidR="00475432" w:rsidRPr="00FC5B6A" w:rsidRDefault="0983F672" w:rsidP="0983F672">
            <w:pPr>
              <w:jc w:val="both"/>
              <w:rPr>
                <w:i/>
                <w:iCs/>
              </w:rPr>
            </w:pPr>
            <w:r w:rsidRPr="00FC5B6A">
              <w:rPr>
                <w:i/>
                <w:iCs/>
              </w:rPr>
              <w:t>ARTÍCULO 173. Protección y delimitación de páramos. En las áreas delimitadas como páramos no se podrán adelantar actividades agropecuarias ni de exploración o explotación de recursos naturales no renovables, ni construcción de refinerías de hidrocarburos.</w:t>
            </w:r>
          </w:p>
          <w:p w14:paraId="44BC626E" w14:textId="22226622" w:rsidR="00475432" w:rsidRPr="00FC5B6A" w:rsidRDefault="0983F672" w:rsidP="0983F672">
            <w:pPr>
              <w:jc w:val="both"/>
              <w:rPr>
                <w:i/>
                <w:iCs/>
              </w:rPr>
            </w:pPr>
            <w:r w:rsidRPr="00FC5B6A">
              <w:rPr>
                <w:i/>
                <w:iCs/>
              </w:rPr>
              <w:t>El Ministerio de Ambiente y Desarrollo Sostenible hará la delimitación de las áreas de páramos al interior del área de referencia definida en la cartografía generada por el Instituto Alexander Van Humboldt a escala 1:100.000 o 1:25.000, cuando esta última esté disponible. En esta área la autoridad ambiental regional deberá elaborar los estudios técnicos que permitan caracterizar el contexto ambiental, social y económico, de conformidad con los términos de referencia expedidos por el Ministerio de Ambiente y Desarrollo Sostenible. Al interior de dicha área, el Ministerio de Ambiente y Desarrollo Sostenible deberá delimitar el área de páramo, con base en criterios técnicos, ambientales, sociales y económicos.</w:t>
            </w:r>
          </w:p>
          <w:p w14:paraId="21080AF9" w14:textId="61140F2E" w:rsidR="00475432" w:rsidRPr="00FC5B6A" w:rsidRDefault="0983F672" w:rsidP="0983F672">
            <w:pPr>
              <w:jc w:val="both"/>
              <w:rPr>
                <w:i/>
                <w:iCs/>
              </w:rPr>
            </w:pPr>
            <w:r w:rsidRPr="00FC5B6A">
              <w:rPr>
                <w:i/>
                <w:iCs/>
              </w:rPr>
              <w:t xml:space="preserve">PARÁGRAFO 1°. Al interior del área delimitada como páramo, las actividades para contrato y licencia ambiental con el instrumento de control y manejo ambiental equivalente, que hayan sido otorgados con anterioridad al 9 de febrero de 2010 para las actividades de minería, o con anterioridad al 16 de junio de 2011 para la actividad de hidrocarburos, respectivamente, podrán seguir ejecutándose hasta su terminación, sin posibilidad de prórroga. A partir de la </w:t>
            </w:r>
            <w:proofErr w:type="gramStart"/>
            <w:r w:rsidRPr="00FC5B6A">
              <w:rPr>
                <w:i/>
                <w:iCs/>
              </w:rPr>
              <w:t>entrada en vigencia</w:t>
            </w:r>
            <w:proofErr w:type="gramEnd"/>
            <w:r w:rsidRPr="00FC5B6A">
              <w:rPr>
                <w:i/>
                <w:iCs/>
              </w:rPr>
              <w:t xml:space="preserve"> de la presente ley, las Autoridades Ambientales deberán revisar las Licencias Ambientales otorgadas antes de 1a </w:t>
            </w:r>
            <w:proofErr w:type="gramStart"/>
            <w:r w:rsidRPr="00FC5B6A">
              <w:rPr>
                <w:i/>
                <w:iCs/>
              </w:rPr>
              <w:t>entrada en vigencia</w:t>
            </w:r>
            <w:proofErr w:type="gramEnd"/>
            <w:r w:rsidRPr="00FC5B6A">
              <w:rPr>
                <w:i/>
                <w:iCs/>
              </w:rPr>
              <w:t xml:space="preserve"> de la prohibición, en las áreas de páramo delimitadas y las mismas estarán sujetas a un control, seguimiento y revisión por parte de las autoridades mineras, de hidrocarburos y ambientales, en el marco de sus competencias y aplicando las directrices que para el efecto defina el Ministerio de Ambiente y Desarrollo Sostenible.</w:t>
            </w:r>
          </w:p>
          <w:p w14:paraId="168DACE3" w14:textId="55D47CAC" w:rsidR="00475432" w:rsidRPr="00FC5B6A" w:rsidRDefault="0983F672" w:rsidP="0983F672">
            <w:pPr>
              <w:jc w:val="both"/>
              <w:rPr>
                <w:i/>
                <w:iCs/>
              </w:rPr>
            </w:pPr>
            <w:r w:rsidRPr="00FC5B6A">
              <w:rPr>
                <w:i/>
                <w:iCs/>
              </w:rPr>
              <w:lastRenderedPageBreak/>
              <w:t xml:space="preserve">En todo caso, el incumplimiento de los términos y condiciones en los cuales se otorgaron las autorizaciones mineras o </w:t>
            </w:r>
            <w:proofErr w:type="gramStart"/>
            <w:r w:rsidRPr="00FC5B6A">
              <w:rPr>
                <w:i/>
                <w:iCs/>
              </w:rPr>
              <w:t>ambientales,</w:t>
            </w:r>
            <w:proofErr w:type="gramEnd"/>
            <w:r w:rsidRPr="00FC5B6A">
              <w:rPr>
                <w:i/>
                <w:iCs/>
              </w:rPr>
              <w:t xml:space="preserve"> dará lugar a la caducidad del título minero de conformidad con lo dispuesto en el código de minas o la revocatoria directa de la licencia ambiental sin el consentimiento del titular y no habrá lugar a compensación alguna.</w:t>
            </w:r>
          </w:p>
          <w:p w14:paraId="139CDC19" w14:textId="1FB40422" w:rsidR="00475432" w:rsidRPr="00FC5B6A" w:rsidRDefault="0983F672" w:rsidP="0983F672">
            <w:pPr>
              <w:jc w:val="both"/>
              <w:rPr>
                <w:i/>
                <w:iCs/>
              </w:rPr>
            </w:pPr>
            <w:r w:rsidRPr="00FC5B6A">
              <w:rPr>
                <w:i/>
                <w:iCs/>
              </w:rPr>
              <w:t>Si a pesar de la existencia de la licencia ambiental no es posible prevenir, mitigar, corregir o compensar los posibles daños ambientales sobre el ecosistema de páramo, la actividad minera no podrá seguir desarrollándose.</w:t>
            </w:r>
          </w:p>
          <w:p w14:paraId="0CD8B19D" w14:textId="3EA9EF34" w:rsidR="00475432" w:rsidRPr="00FC5B6A" w:rsidRDefault="0983F672" w:rsidP="0983F672">
            <w:pPr>
              <w:jc w:val="both"/>
              <w:rPr>
                <w:i/>
                <w:iCs/>
              </w:rPr>
            </w:pPr>
            <w:r w:rsidRPr="00FC5B6A">
              <w:rPr>
                <w:i/>
                <w:iCs/>
              </w:rPr>
              <w:t>El Ministerio de Agricultura y Desarrollo Rural y sus entidades adscritas o vinculadas y las entidades territoriales, en coordinación con las Corporaciones Autónomas Regionales, y bajo las directrices del Ministerio de Ambiente y Desarrollo Sostenible, concurrirán para diseñar, capacitar y poner en marcha programas de sustitución y reconversión de las actividades agropecuarias que se venían desarrollando con anterioridad al 16 de junio de 2011 y que se encuentren al interior del área de páramo delimitada, con el fin de garantizar de manera gradual la aplicación de la prohibición.</w:t>
            </w:r>
          </w:p>
          <w:p w14:paraId="7C2B905A" w14:textId="2E73F838" w:rsidR="00475432" w:rsidRPr="00FC5B6A" w:rsidRDefault="0983F672" w:rsidP="0983F672">
            <w:pPr>
              <w:jc w:val="both"/>
              <w:rPr>
                <w:i/>
                <w:iCs/>
              </w:rPr>
            </w:pPr>
            <w:r w:rsidRPr="00FC5B6A">
              <w:rPr>
                <w:i/>
                <w:iCs/>
              </w:rPr>
              <w:t>PARÁGRAFO 2°. En el área de referencia que no sea incluida dentro del área del páramo delimitada, no estará permitido otorgar nuevos títulos mineros o suscribir nuevos contratos para la exploración y explotación de hidrocarburos, ni el desarrollo de nuevas actividades agropecuarias. Esta área será objeto de ordenamiento y manejo integral por parte de las entidades territoriales de conformidad con los lineamientos que establezcan las Corporaciones Autónomas Regionales, con el fin de atenuar y prevenir las perturbaciones sobre el área delimitada como páramo y contribuir con la protección y preservación de estas.</w:t>
            </w:r>
          </w:p>
          <w:p w14:paraId="7AFA124F" w14:textId="42356EBA" w:rsidR="00475432" w:rsidRPr="00FC5B6A" w:rsidRDefault="0983F672" w:rsidP="0983F672">
            <w:pPr>
              <w:jc w:val="both"/>
              <w:rPr>
                <w:i/>
                <w:iCs/>
              </w:rPr>
            </w:pPr>
            <w:r w:rsidRPr="00FC5B6A">
              <w:rPr>
                <w:i/>
                <w:iCs/>
              </w:rPr>
              <w:t>PARÁGRAFO 3°. Dentro de los tres (3) años siguientes a la delimitación, las autoridades ambientales deberán zonificar y determinar el régimen de usos del área de páramo delimitada, de acuerdo con los lineamientos que para el efecto defina el Ministerio de Ambiente y Desarrollo Sostenible.</w:t>
            </w:r>
          </w:p>
          <w:p w14:paraId="402B1BF1" w14:textId="6289E8F0" w:rsidR="00475432" w:rsidRPr="00FC5B6A" w:rsidRDefault="00475432" w:rsidP="3C9E7864"/>
        </w:tc>
      </w:tr>
      <w:tr w:rsidR="00053C95" w:rsidRPr="00FC5B6A" w14:paraId="2CB6ADBC" w14:textId="77777777" w:rsidTr="0983F672">
        <w:tc>
          <w:tcPr>
            <w:tcW w:w="2122" w:type="dxa"/>
          </w:tcPr>
          <w:p w14:paraId="0F0EE437" w14:textId="77777777" w:rsidR="00730B29" w:rsidRPr="00FC5B6A" w:rsidRDefault="00730B29" w:rsidP="00883282">
            <w:pPr>
              <w:jc w:val="center"/>
              <w:rPr>
                <w:rFonts w:eastAsia="Calibri" w:cstheme="minorHAnsi"/>
                <w:b/>
                <w:bCs/>
                <w:color w:val="000000" w:themeColor="text1"/>
                <w:lang w:val="es"/>
              </w:rPr>
            </w:pPr>
            <w:r w:rsidRPr="00FC5B6A">
              <w:rPr>
                <w:rFonts w:eastAsia="Calibri" w:cstheme="minorHAnsi"/>
                <w:b/>
                <w:bCs/>
                <w:color w:val="000000" w:themeColor="text1"/>
                <w:lang w:val="es"/>
              </w:rPr>
              <w:lastRenderedPageBreak/>
              <w:t>Resolución 1275 del 6 de agosto de 2014</w:t>
            </w:r>
          </w:p>
          <w:p w14:paraId="4955C6A8" w14:textId="77777777" w:rsidR="00730B29" w:rsidRPr="00FC5B6A" w:rsidRDefault="00730B29" w:rsidP="00883282">
            <w:pPr>
              <w:jc w:val="center"/>
              <w:rPr>
                <w:rFonts w:eastAsia="Calibri" w:cstheme="minorHAnsi"/>
                <w:color w:val="000000" w:themeColor="text1"/>
              </w:rPr>
            </w:pPr>
            <w:r w:rsidRPr="00FC5B6A">
              <w:rPr>
                <w:rFonts w:eastAsia="Calibri" w:cstheme="minorHAnsi"/>
                <w:color w:val="000000" w:themeColor="text1"/>
              </w:rPr>
              <w:t>“</w:t>
            </w:r>
            <w:r w:rsidRPr="00FC5B6A">
              <w:rPr>
                <w:rFonts w:eastAsia="Calibri" w:cstheme="minorHAnsi"/>
                <w:i/>
                <w:iCs/>
                <w:color w:val="000000" w:themeColor="text1"/>
              </w:rPr>
              <w:t>Por la cual se adopta la zonificación y ordenamiento de la Reserva Forestal del Cocuy, establecida en la Ley 2 de 1959 y se toman otras determinaciones</w:t>
            </w:r>
            <w:r w:rsidRPr="00FC5B6A">
              <w:rPr>
                <w:rFonts w:eastAsia="Calibri" w:cstheme="minorHAnsi"/>
                <w:color w:val="000000" w:themeColor="text1"/>
              </w:rPr>
              <w:t>”</w:t>
            </w:r>
          </w:p>
          <w:p w14:paraId="1784AA1B" w14:textId="77777777" w:rsidR="00053C95" w:rsidRPr="00FC5B6A" w:rsidRDefault="00053C95" w:rsidP="00883282">
            <w:pPr>
              <w:jc w:val="center"/>
              <w:rPr>
                <w:rFonts w:cstheme="minorHAnsi"/>
              </w:rPr>
            </w:pPr>
          </w:p>
        </w:tc>
        <w:tc>
          <w:tcPr>
            <w:tcW w:w="6706" w:type="dxa"/>
          </w:tcPr>
          <w:p w14:paraId="5D88E2B9" w14:textId="7F84FE33" w:rsidR="00730B29" w:rsidRPr="00FC5B6A" w:rsidRDefault="0983F672" w:rsidP="0983F672">
            <w:pPr>
              <w:jc w:val="both"/>
            </w:pPr>
            <w:r w:rsidRPr="00FC5B6A">
              <w:t xml:space="preserve">Esta Resolución, adoptó la zonificación y ordenamiento de la Reserva Forestal, definiendo allí tres tipos de zonas. </w:t>
            </w:r>
          </w:p>
          <w:p w14:paraId="6D68A1F7" w14:textId="14C3434C" w:rsidR="00730B29" w:rsidRPr="00FC5B6A" w:rsidRDefault="0983F672" w:rsidP="0983F672">
            <w:pPr>
              <w:jc w:val="both"/>
            </w:pPr>
            <w:r w:rsidRPr="00FC5B6A">
              <w:t xml:space="preserve">“1. Zona tipo A: Zonas que garantizan el mantenimiento de los procesos ecológicos básicos necesarios para asegurar la oferta de servicios ecosistémicos, relacionados principalmente con la regulación hídrica y climática; la asimilación de contaminantes del aire y del agua; la formación y protección del suelo; la protección de paisajes singulares y de patrimonio cultural; y el soporte a la diversidad biológica. </w:t>
            </w:r>
          </w:p>
          <w:p w14:paraId="621A697A" w14:textId="77777777" w:rsidR="00730B29" w:rsidRPr="00FC5B6A" w:rsidRDefault="0983F672" w:rsidP="0983F672">
            <w:pPr>
              <w:jc w:val="both"/>
            </w:pPr>
            <w:r w:rsidRPr="00FC5B6A">
              <w:t xml:space="preserve">2. Zona tipo B: Zonas que se caracterizan por tener coberturas favorables para un manejo sostenible del recurso forestal mediante un enfoque de ordenación forestal integral y la gestión integral de la biodiversidad y los servicios ecosistémicos. </w:t>
            </w:r>
          </w:p>
          <w:p w14:paraId="577E8B66" w14:textId="2A4D6B20" w:rsidR="00053C95" w:rsidRPr="00FC5B6A" w:rsidRDefault="0983F672" w:rsidP="0983F672">
            <w:pPr>
              <w:jc w:val="both"/>
            </w:pPr>
            <w:r w:rsidRPr="00FC5B6A">
              <w:t xml:space="preserve">3. Zona tipo C: Zonas que por sus características biofísicas ofrecen condiciones para el desarrollo de actividades productivas agroforestales, </w:t>
            </w:r>
            <w:r w:rsidRPr="00FC5B6A">
              <w:lastRenderedPageBreak/>
              <w:t xml:space="preserve">silvopastoriles y otras compatibles con los objetivos de la Reserva Forestal, que deben incorporar el componente forestal, y que no impliquen la reducción de las áreas de bosque natural presentes en sus diferentes estados </w:t>
            </w:r>
            <w:proofErr w:type="spellStart"/>
            <w:r w:rsidRPr="00FC5B6A">
              <w:t>sucesionales</w:t>
            </w:r>
            <w:proofErr w:type="spellEnd"/>
            <w:r w:rsidRPr="00FC5B6A">
              <w:t>.”</w:t>
            </w:r>
          </w:p>
        </w:tc>
      </w:tr>
      <w:tr w:rsidR="00053C95" w:rsidRPr="00FC5B6A" w14:paraId="1911CD30" w14:textId="77777777" w:rsidTr="0983F672">
        <w:tc>
          <w:tcPr>
            <w:tcW w:w="2122" w:type="dxa"/>
          </w:tcPr>
          <w:p w14:paraId="4F566CC7" w14:textId="035ECE53" w:rsidR="00730B29" w:rsidRPr="00FC5B6A" w:rsidRDefault="00730B29" w:rsidP="00883282">
            <w:pPr>
              <w:jc w:val="center"/>
              <w:rPr>
                <w:rFonts w:cstheme="minorHAnsi"/>
                <w:b/>
                <w:bCs/>
              </w:rPr>
            </w:pPr>
            <w:r w:rsidRPr="00FC5B6A">
              <w:rPr>
                <w:rFonts w:cstheme="minorHAnsi"/>
                <w:b/>
                <w:bCs/>
              </w:rPr>
              <w:lastRenderedPageBreak/>
              <w:t>Resolución 464 de 2017</w:t>
            </w:r>
          </w:p>
          <w:p w14:paraId="7733CB6D" w14:textId="33629F0D" w:rsidR="00053C95" w:rsidRPr="00FC5B6A" w:rsidRDefault="00730B29" w:rsidP="00883282">
            <w:pPr>
              <w:jc w:val="center"/>
              <w:rPr>
                <w:rFonts w:cstheme="minorHAnsi"/>
              </w:rPr>
            </w:pPr>
            <w:r w:rsidRPr="00FC5B6A">
              <w:rPr>
                <w:rFonts w:cstheme="minorHAnsi"/>
              </w:rPr>
              <w:t>“por la cual se adoptan los Lineamientos Estratégicos de Política Pública para la Agricultura Campesina, Familiar y Comunitaria y se dictan otras disposiciones”</w:t>
            </w:r>
          </w:p>
        </w:tc>
        <w:tc>
          <w:tcPr>
            <w:tcW w:w="6706" w:type="dxa"/>
          </w:tcPr>
          <w:p w14:paraId="741BF44D" w14:textId="77777777" w:rsidR="00730B29" w:rsidRPr="00FC5B6A" w:rsidRDefault="0983F672" w:rsidP="0983F672">
            <w:pPr>
              <w:jc w:val="both"/>
              <w:rPr>
                <w:i/>
                <w:iCs/>
              </w:rPr>
            </w:pPr>
            <w:r w:rsidRPr="00FC5B6A">
              <w:rPr>
                <w:i/>
                <w:iCs/>
              </w:rPr>
              <w:t xml:space="preserve">Artículo 3°. Definiciones relacionadas con los lineamientos estratégicos de política pública para la ACFC. Para la aplicación de la presente resolución y todo lo relacionado con el fortalecimiento y protección de la Agricultura Campesina, Familiar y Comunitaria, se tendrán en cuenta las siguientes definiciones: </w:t>
            </w:r>
          </w:p>
          <w:p w14:paraId="6F781D50" w14:textId="77777777" w:rsidR="00730B29" w:rsidRPr="00FC5B6A" w:rsidRDefault="00730B29" w:rsidP="00730B29">
            <w:pPr>
              <w:rPr>
                <w:rFonts w:cstheme="minorHAnsi"/>
                <w:i/>
                <w:iCs/>
              </w:rPr>
            </w:pPr>
          </w:p>
          <w:p w14:paraId="19101567" w14:textId="082F931A" w:rsidR="00053C95" w:rsidRPr="00FC5B6A" w:rsidRDefault="0983F672" w:rsidP="0983F672">
            <w:pPr>
              <w:jc w:val="both"/>
              <w:rPr>
                <w:i/>
                <w:iCs/>
              </w:rPr>
            </w:pPr>
            <w:r w:rsidRPr="00FC5B6A">
              <w:rPr>
                <w:i/>
                <w:iCs/>
              </w:rPr>
              <w:t xml:space="preserve">(…) “Agricultura Campesina, Familiar y Comunitaria. Sistema de producción y organización gestionado y operado por mujeres, hombres, familias, y comunidades campesinas, indígenas, negras, afrodescendientes, raizales y palenqueras que conviven en los territorios rurales del país. En este sistema se desarrollan principalmente actividades de producción, transformación y comercialización de bienes y servicios agrícolas, pecuarios, pesqueros, acuícolas y silvícolas, que suelen complementarse con actividades no agropecuarias. Esta diversificación de actividades y medios de vida se realiza predominantemente a través de la gestión y el trabajo familiar, asociativo o comunitario, aunque también puede emplearse mano de obra contratada. El territorio y los actores que gestionan este sistema están estrechamente vinculados y </w:t>
            </w:r>
            <w:proofErr w:type="spellStart"/>
            <w:r w:rsidRPr="00FC5B6A">
              <w:rPr>
                <w:i/>
                <w:iCs/>
              </w:rPr>
              <w:t>coevolucionan</w:t>
            </w:r>
            <w:proofErr w:type="spellEnd"/>
            <w:r w:rsidRPr="00FC5B6A">
              <w:rPr>
                <w:i/>
                <w:iCs/>
              </w:rPr>
              <w:t xml:space="preserve"> combinando funciones económicas, sociales, ecológicas, políticas y culturales</w:t>
            </w:r>
            <w:proofErr w:type="gramStart"/>
            <w:r w:rsidRPr="00FC5B6A">
              <w:rPr>
                <w:i/>
                <w:iCs/>
              </w:rPr>
              <w:t>.”(</w:t>
            </w:r>
            <w:proofErr w:type="gramEnd"/>
            <w:r w:rsidRPr="00FC5B6A">
              <w:rPr>
                <w:i/>
                <w:iCs/>
              </w:rPr>
              <w:t>…)</w:t>
            </w:r>
          </w:p>
        </w:tc>
      </w:tr>
      <w:tr w:rsidR="00053C95" w:rsidRPr="00FC5B6A" w14:paraId="7F46D036" w14:textId="77777777" w:rsidTr="0983F672">
        <w:tc>
          <w:tcPr>
            <w:tcW w:w="2122" w:type="dxa"/>
          </w:tcPr>
          <w:p w14:paraId="5AF969D3" w14:textId="3BA0BF8F" w:rsidR="00053C95" w:rsidRPr="00FC5B6A" w:rsidRDefault="00383931" w:rsidP="00883282">
            <w:pPr>
              <w:jc w:val="center"/>
              <w:rPr>
                <w:rFonts w:cstheme="minorHAnsi"/>
                <w:b/>
                <w:bCs/>
              </w:rPr>
            </w:pPr>
            <w:r w:rsidRPr="00FC5B6A">
              <w:rPr>
                <w:rFonts w:cstheme="minorHAnsi"/>
                <w:b/>
                <w:bCs/>
              </w:rPr>
              <w:t>Resolución 1405 de 2018</w:t>
            </w:r>
          </w:p>
        </w:tc>
        <w:tc>
          <w:tcPr>
            <w:tcW w:w="6706" w:type="dxa"/>
          </w:tcPr>
          <w:p w14:paraId="2D5DB71E" w14:textId="3A6A98C7" w:rsidR="00053C95" w:rsidRPr="00FC5B6A" w:rsidRDefault="0983F672" w:rsidP="0983F672">
            <w:pPr>
              <w:jc w:val="both"/>
              <w:rPr>
                <w:i/>
                <w:iCs/>
              </w:rPr>
            </w:pPr>
            <w:r w:rsidRPr="00FC5B6A">
              <w:rPr>
                <w:i/>
                <w:iCs/>
              </w:rPr>
              <w:t xml:space="preserve">“Por medio de la cual se delimita el Área de Páramo Sierra Nevada del Cocuy y se adoptan otras determinaciones”. </w:t>
            </w:r>
          </w:p>
        </w:tc>
      </w:tr>
      <w:tr w:rsidR="00D56A35" w:rsidRPr="00FC5B6A" w14:paraId="1078683A" w14:textId="77777777" w:rsidTr="0983F672">
        <w:tc>
          <w:tcPr>
            <w:tcW w:w="2122" w:type="dxa"/>
          </w:tcPr>
          <w:p w14:paraId="1FBFFF67" w14:textId="2454C1EC" w:rsidR="00D56A35" w:rsidRPr="00FC5B6A" w:rsidRDefault="00D56A35" w:rsidP="00883282">
            <w:pPr>
              <w:jc w:val="center"/>
              <w:rPr>
                <w:rFonts w:cstheme="minorHAnsi"/>
                <w:b/>
                <w:bCs/>
              </w:rPr>
            </w:pPr>
            <w:r w:rsidRPr="00FC5B6A">
              <w:rPr>
                <w:rFonts w:cstheme="minorHAnsi"/>
                <w:b/>
                <w:bCs/>
              </w:rPr>
              <w:t>Ley 1930 de 2018</w:t>
            </w:r>
          </w:p>
        </w:tc>
        <w:tc>
          <w:tcPr>
            <w:tcW w:w="6706" w:type="dxa"/>
          </w:tcPr>
          <w:p w14:paraId="23B5CCA4" w14:textId="33D37CE9" w:rsidR="00D56A35" w:rsidRPr="00FC5B6A" w:rsidRDefault="0983F672" w:rsidP="0983F672">
            <w:pPr>
              <w:jc w:val="both"/>
              <w:rPr>
                <w:i/>
                <w:iCs/>
              </w:rPr>
            </w:pPr>
            <w:r w:rsidRPr="00FC5B6A">
              <w:rPr>
                <w:i/>
                <w:iCs/>
              </w:rPr>
              <w:t>"Por medio De La Cual Se Dictan Disposiciones Para La Gestión Integral De Los Páramos En Colombia"</w:t>
            </w:r>
          </w:p>
        </w:tc>
      </w:tr>
      <w:tr w:rsidR="00053C95" w:rsidRPr="00FC5B6A" w14:paraId="6DC22CA1" w14:textId="77777777" w:rsidTr="0983F672">
        <w:tc>
          <w:tcPr>
            <w:tcW w:w="2122" w:type="dxa"/>
          </w:tcPr>
          <w:p w14:paraId="5AAEB169" w14:textId="1303154E" w:rsidR="00053C95" w:rsidRPr="00FC5B6A" w:rsidRDefault="00383931" w:rsidP="00883282">
            <w:pPr>
              <w:jc w:val="center"/>
              <w:rPr>
                <w:rFonts w:cstheme="minorHAnsi"/>
              </w:rPr>
            </w:pPr>
            <w:r w:rsidRPr="00FC5B6A">
              <w:rPr>
                <w:rFonts w:cstheme="minorHAnsi"/>
                <w:b/>
                <w:bCs/>
              </w:rPr>
              <w:t>Resolución 1608 del 29 de diciembre de 2021</w:t>
            </w:r>
          </w:p>
        </w:tc>
        <w:tc>
          <w:tcPr>
            <w:tcW w:w="6706" w:type="dxa"/>
          </w:tcPr>
          <w:p w14:paraId="7AD8E47B" w14:textId="6CA8BF48" w:rsidR="00053C95" w:rsidRPr="00FC5B6A" w:rsidRDefault="0983F672" w:rsidP="0983F672">
            <w:pPr>
              <w:jc w:val="both"/>
            </w:pPr>
            <w:r w:rsidRPr="00FC5B6A">
              <w:t>Se adoptó el Plan de Zonificación Ambiental objeto del punto 1.1.10 del Acuerdo Final de Paz , respecto del cual el Consejo de Seguridad de la Organización de Naciones Unidas, según sus Resoluciones 2366 (2017) y 2673 (2023), se estableció la Misión de Verificación de las Naciones Unidas en Colombia, encargada de verificar la implementación por el Gobierno de Colombia y las Fuerzas Armadas Revolucionarias de Colombia-Ejército del Pueblo (FARC-EP) del Acuerdo Final, incluyendo el Punto 1,el cual contiene la metodología de zonificación ambiental a escala 1:100.000.</w:t>
            </w:r>
          </w:p>
        </w:tc>
      </w:tr>
      <w:tr w:rsidR="3C9E7864" w:rsidRPr="00FC5B6A" w14:paraId="22AF37FA" w14:textId="77777777" w:rsidTr="0983F672">
        <w:trPr>
          <w:trHeight w:val="300"/>
        </w:trPr>
        <w:tc>
          <w:tcPr>
            <w:tcW w:w="2122" w:type="dxa"/>
          </w:tcPr>
          <w:p w14:paraId="4C8DDED8" w14:textId="4525130C" w:rsidR="4623213E" w:rsidRPr="00FC5B6A" w:rsidRDefault="4623213E" w:rsidP="3C9E7864">
            <w:pPr>
              <w:jc w:val="center"/>
              <w:rPr>
                <w:rFonts w:ascii="Calibri" w:eastAsia="Calibri" w:hAnsi="Calibri" w:cs="Calibri"/>
                <w:b/>
                <w:bCs/>
              </w:rPr>
            </w:pPr>
            <w:r w:rsidRPr="00FC5B6A">
              <w:rPr>
                <w:rFonts w:ascii="Calibri" w:eastAsia="Calibri" w:hAnsi="Calibri" w:cs="Calibri"/>
                <w:b/>
                <w:bCs/>
              </w:rPr>
              <w:t>Ley 2273 de 2022</w:t>
            </w:r>
          </w:p>
        </w:tc>
        <w:tc>
          <w:tcPr>
            <w:tcW w:w="6706" w:type="dxa"/>
          </w:tcPr>
          <w:p w14:paraId="570C5240" w14:textId="3EB945EF" w:rsidR="4623213E" w:rsidRPr="00FC5B6A" w:rsidRDefault="0983F672" w:rsidP="0983F672">
            <w:pPr>
              <w:jc w:val="both"/>
            </w:pPr>
            <w:r w:rsidRPr="00FC5B6A">
              <w:t>“Por medio de la cual se aprueba el “Acuerdo Regional sobre el acceso a la información, la participación pública y el acceso a la justicia en asuntos ambientales en América Latina y el Caribe”, adoptado en Escazú, Costa Rica, el 4 de marzo de 2018”.</w:t>
            </w:r>
          </w:p>
        </w:tc>
      </w:tr>
      <w:tr w:rsidR="00053C95" w:rsidRPr="00FC5B6A" w14:paraId="0D598978" w14:textId="77777777" w:rsidTr="0983F672">
        <w:tc>
          <w:tcPr>
            <w:tcW w:w="2122" w:type="dxa"/>
          </w:tcPr>
          <w:p w14:paraId="4D3716B2" w14:textId="191A99D6" w:rsidR="00053C95" w:rsidRPr="00FC5B6A" w:rsidRDefault="22DF84DA" w:rsidP="00883282">
            <w:pPr>
              <w:jc w:val="center"/>
              <w:rPr>
                <w:b/>
                <w:bCs/>
              </w:rPr>
            </w:pPr>
            <w:r w:rsidRPr="00FC5B6A">
              <w:rPr>
                <w:b/>
                <w:bCs/>
              </w:rPr>
              <w:t>Ley 2294 del 19 de mayo del 2023</w:t>
            </w:r>
          </w:p>
        </w:tc>
        <w:tc>
          <w:tcPr>
            <w:tcW w:w="6706" w:type="dxa"/>
          </w:tcPr>
          <w:p w14:paraId="556E8E65" w14:textId="5AD82F8B" w:rsidR="00053C95" w:rsidRPr="00FC5B6A" w:rsidRDefault="0983F672" w:rsidP="0983F672">
            <w:pPr>
              <w:jc w:val="both"/>
            </w:pPr>
            <w:r w:rsidRPr="00FC5B6A">
              <w:t>“Por el cual se expide el plan nacional de desarrollo 2022- 2026 “Colombia potencia mundial de la vida”</w:t>
            </w:r>
          </w:p>
        </w:tc>
      </w:tr>
      <w:tr w:rsidR="00053C95" w:rsidRPr="00FC5B6A" w14:paraId="2A6D6FB9" w14:textId="77777777" w:rsidTr="0983F672">
        <w:tc>
          <w:tcPr>
            <w:tcW w:w="2122" w:type="dxa"/>
          </w:tcPr>
          <w:p w14:paraId="3EFB6CBA" w14:textId="24741F64" w:rsidR="00053C95" w:rsidRPr="00FC5B6A" w:rsidRDefault="22DF84DA" w:rsidP="00883282">
            <w:pPr>
              <w:jc w:val="center"/>
              <w:rPr>
                <w:b/>
                <w:bCs/>
              </w:rPr>
            </w:pPr>
            <w:r w:rsidRPr="00FC5B6A">
              <w:rPr>
                <w:b/>
                <w:bCs/>
              </w:rPr>
              <w:t>Acto Legislativo 01 del 05 de julio de 2023</w:t>
            </w:r>
          </w:p>
        </w:tc>
        <w:tc>
          <w:tcPr>
            <w:tcW w:w="6706" w:type="dxa"/>
          </w:tcPr>
          <w:p w14:paraId="2301347E" w14:textId="45EA3140" w:rsidR="00784C80" w:rsidRPr="00FC5B6A" w:rsidRDefault="0983F672" w:rsidP="0983F672">
            <w:pPr>
              <w:jc w:val="both"/>
            </w:pPr>
            <w:r w:rsidRPr="00FC5B6A">
              <w:t xml:space="preserve">Modificó el artículo 64 de la Constitución Política de Colombia, señalando que el campesinado es sujeto de derechos y de especial protección, reconociendo la dimensión económica, social, cultural, política y </w:t>
            </w:r>
            <w:r w:rsidRPr="00FC5B6A">
              <w:lastRenderedPageBreak/>
              <w:t>ambiental del campesinado, así como aquellas que le sean reconocidas y velará por la protección, respeto y garantía de sus derechos individuales y colectivos.</w:t>
            </w:r>
          </w:p>
          <w:p w14:paraId="00479A26" w14:textId="77777777" w:rsidR="00784C80" w:rsidRPr="00FC5B6A" w:rsidRDefault="00784C80" w:rsidP="00784C80">
            <w:pPr>
              <w:rPr>
                <w:rFonts w:cstheme="minorHAnsi"/>
              </w:rPr>
            </w:pPr>
          </w:p>
          <w:p w14:paraId="4E86F4E2" w14:textId="55F14526" w:rsidR="00053C95" w:rsidRPr="00FC5B6A" w:rsidRDefault="0983F672" w:rsidP="0983F672">
            <w:pPr>
              <w:jc w:val="both"/>
            </w:pPr>
            <w:r w:rsidRPr="00FC5B6A">
              <w:t>Que el artículo 65 de la Constitución Política, modificado por el Acto Legislativo 001 de 2025, garantiza el derecho humano a la alimentación adecuada con un enfoque intercultural y territorial, estableciendo la protección especial de la producción y el acceso a alimentos y otorgando prioridad al desarrollo sostenible e integral de las actividades agrícolas, agroalimentarias, agroindustriales, agroecológicas, pecuarias, pesqueras, acuáticas, forestales y campesinas, así como también a la adecuación de tierras, construcción de obras de infraestructura física y logística que facilite la disponibilidad de alimentos en todo el territorio nacional.</w:t>
            </w:r>
          </w:p>
        </w:tc>
      </w:tr>
    </w:tbl>
    <w:p w14:paraId="5F7F4038" w14:textId="77777777" w:rsidR="007B766A" w:rsidRPr="00FC5B6A" w:rsidRDefault="007B766A" w:rsidP="00DB512B"/>
    <w:p w14:paraId="476316E3" w14:textId="01E0EC72" w:rsidR="2B135295" w:rsidRPr="00FC5B6A" w:rsidRDefault="2B135295" w:rsidP="2B135295"/>
    <w:p w14:paraId="153A0870" w14:textId="145219DC" w:rsidR="2B135295" w:rsidRPr="00FC5B6A" w:rsidRDefault="2B135295" w:rsidP="2B135295">
      <w:pPr>
        <w:rPr>
          <w:rFonts w:eastAsia="Arial"/>
          <w:color w:val="000000" w:themeColor="text1"/>
        </w:rPr>
      </w:pPr>
    </w:p>
    <w:p w14:paraId="06D2A92C" w14:textId="61AE7BD4" w:rsidR="2B135295" w:rsidRPr="00FC5B6A" w:rsidRDefault="2B135295" w:rsidP="2B135295">
      <w:pPr>
        <w:rPr>
          <w:rFonts w:eastAsia="Arial"/>
          <w:color w:val="000000" w:themeColor="text1"/>
        </w:rPr>
      </w:pPr>
    </w:p>
    <w:p w14:paraId="1BBF9507" w14:textId="1FC4E9B6" w:rsidR="660E8D87" w:rsidRPr="00FC5B6A" w:rsidRDefault="00F20706" w:rsidP="660E8D87">
      <w:pPr>
        <w:rPr>
          <w:rFonts w:eastAsia="Arial"/>
          <w:color w:val="000000" w:themeColor="text1"/>
        </w:rPr>
      </w:pPr>
      <w:r w:rsidRPr="00FC5B6A">
        <w:rPr>
          <w:rFonts w:eastAsia="Arial"/>
          <w:color w:val="000000" w:themeColor="text1"/>
        </w:rPr>
        <w:br w:type="page"/>
      </w:r>
    </w:p>
    <w:p w14:paraId="7CE499F4" w14:textId="77777777" w:rsidR="00562665" w:rsidRPr="00FC5B6A" w:rsidRDefault="00FE3238" w:rsidP="00FE3238">
      <w:pPr>
        <w:pStyle w:val="Ttulo1"/>
        <w:rPr>
          <w:rFonts w:asciiTheme="minorHAnsi" w:hAnsiTheme="minorHAnsi" w:cstheme="minorHAnsi"/>
        </w:rPr>
      </w:pPr>
      <w:bookmarkStart w:id="11" w:name="_Toc224921351"/>
      <w:bookmarkStart w:id="12" w:name="_Toc186104575"/>
      <w:r w:rsidRPr="00FC5B6A">
        <w:rPr>
          <w:rFonts w:asciiTheme="minorHAnsi" w:hAnsiTheme="minorHAnsi" w:cstheme="minorHAnsi"/>
        </w:rPr>
        <w:lastRenderedPageBreak/>
        <w:t>Contexto</w:t>
      </w:r>
      <w:bookmarkEnd w:id="11"/>
    </w:p>
    <w:p w14:paraId="7C3E9FF7" w14:textId="2CB6AE49" w:rsidR="00FE3238" w:rsidRPr="00FC5B6A" w:rsidRDefault="00562665" w:rsidP="00DB512B">
      <w:pPr>
        <w:pStyle w:val="Ttulo2"/>
      </w:pPr>
      <w:bookmarkStart w:id="13" w:name="_Toc224921352"/>
      <w:r w:rsidRPr="00FC5B6A">
        <w:t>Ley 2 de 1959</w:t>
      </w:r>
      <w:bookmarkEnd w:id="13"/>
      <w:r w:rsidR="00FE3238" w:rsidRPr="00FC5B6A">
        <w:t xml:space="preserve"> </w:t>
      </w:r>
      <w:bookmarkEnd w:id="12"/>
    </w:p>
    <w:p w14:paraId="098BBA6C" w14:textId="77777777" w:rsidR="00FE3238" w:rsidRPr="00FC5B6A" w:rsidRDefault="00FE3238" w:rsidP="00FE3238">
      <w:pPr>
        <w:pBdr>
          <w:top w:val="nil"/>
          <w:left w:val="nil"/>
          <w:bottom w:val="nil"/>
          <w:right w:val="nil"/>
          <w:between w:val="nil"/>
        </w:pBdr>
        <w:jc w:val="both"/>
        <w:rPr>
          <w:rFonts w:eastAsia="Arial" w:cstheme="minorHAnsi"/>
          <w:color w:val="000000"/>
          <w:szCs w:val="24"/>
        </w:rPr>
      </w:pPr>
    </w:p>
    <w:p w14:paraId="507B8618" w14:textId="77777777" w:rsidR="00FE3238" w:rsidRPr="00FC5B6A" w:rsidRDefault="00FE3238" w:rsidP="2196B9FA">
      <w:pPr>
        <w:pBdr>
          <w:top w:val="nil"/>
          <w:left w:val="nil"/>
          <w:bottom w:val="nil"/>
          <w:right w:val="nil"/>
          <w:between w:val="nil"/>
        </w:pBdr>
        <w:jc w:val="both"/>
        <w:rPr>
          <w:rFonts w:eastAsia="Arial"/>
          <w:color w:val="000000"/>
        </w:rPr>
      </w:pPr>
      <w:r w:rsidRPr="00FC5B6A">
        <w:rPr>
          <w:rFonts w:eastAsia="Arial"/>
          <w:color w:val="000000" w:themeColor="text1"/>
        </w:rPr>
        <w:t xml:space="preserve">El Decreto 2278 de 2013 en su artículo 3, define a los </w:t>
      </w:r>
      <w:r w:rsidRPr="00FC5B6A">
        <w:rPr>
          <w:rFonts w:eastAsia="Arial"/>
          <w:b/>
          <w:bCs/>
          <w:color w:val="000000" w:themeColor="text1"/>
        </w:rPr>
        <w:t>“Bosques de Interés General”</w:t>
      </w:r>
      <w:r w:rsidRPr="00FC5B6A">
        <w:rPr>
          <w:rFonts w:eastAsia="Arial"/>
          <w:color w:val="000000" w:themeColor="text1"/>
        </w:rPr>
        <w:t xml:space="preserve"> aquellos que contienen especies de elevado valor comercial que económicamente conviene conservar, ya sean públicos o de propiedad privada. A su vez, el artículo 4 del mismo Decreto, establece que se constituyen como </w:t>
      </w:r>
      <w:r w:rsidRPr="00FC5B6A">
        <w:rPr>
          <w:rFonts w:eastAsia="Arial"/>
          <w:b/>
          <w:bCs/>
          <w:color w:val="000000" w:themeColor="text1"/>
        </w:rPr>
        <w:t>“Zonas Forestales Protectoras”</w:t>
      </w:r>
      <w:r w:rsidRPr="00FC5B6A">
        <w:rPr>
          <w:rFonts w:eastAsia="Arial"/>
          <w:color w:val="000000" w:themeColor="text1"/>
        </w:rPr>
        <w:t xml:space="preserve"> a los terrenos situados en las cabeceras de las cuencas de los ríos, arroyos y quebradas, que sean o no permanentes; márgenes y laderas con pendiente superior al 40%; la zona de 50 metros de ancho a cada lado de los manantiales, corrientes y cualesquiera depósitos naturales de aguas, y todos aquellos en que, a juicio del Ministerio de Agricultura, convenga mantener el bosque, o crearlo si ha desaparecido, con el fin de defender cuencas de abastecimiento de aguas, embalses, acequias, evitar desprendimientos de tierras y rocas, sujetar terrenos, defender vías de comunicación, regularizar cursos de aguas, o contribuir a la salubridad.</w:t>
      </w:r>
    </w:p>
    <w:p w14:paraId="2DD41DC9" w14:textId="50393E5E" w:rsidR="00FE3238" w:rsidRPr="00FC5B6A" w:rsidRDefault="00FE3238" w:rsidP="00FE3238">
      <w:pPr>
        <w:pBdr>
          <w:top w:val="nil"/>
          <w:left w:val="nil"/>
          <w:bottom w:val="nil"/>
          <w:right w:val="nil"/>
          <w:between w:val="nil"/>
        </w:pBdr>
        <w:jc w:val="both"/>
        <w:rPr>
          <w:rFonts w:eastAsia="Arial" w:cstheme="minorHAnsi"/>
          <w:color w:val="000000"/>
          <w:szCs w:val="24"/>
        </w:rPr>
      </w:pPr>
      <w:r w:rsidRPr="00FC5B6A">
        <w:rPr>
          <w:rFonts w:eastAsia="Arial" w:cstheme="minorHAnsi"/>
          <w:color w:val="000000"/>
          <w:szCs w:val="24"/>
        </w:rPr>
        <w:t xml:space="preserve">Bajo dicho contexto, el Congreso de Colombia </w:t>
      </w:r>
      <w:r w:rsidR="0052075B" w:rsidRPr="00FC5B6A">
        <w:rPr>
          <w:rFonts w:eastAsia="Arial" w:cstheme="minorHAnsi"/>
          <w:color w:val="000000"/>
          <w:szCs w:val="24"/>
        </w:rPr>
        <w:t>sancionó</w:t>
      </w:r>
      <w:r w:rsidRPr="00FC5B6A">
        <w:rPr>
          <w:rFonts w:eastAsia="Arial" w:cstheme="minorHAnsi"/>
          <w:color w:val="000000"/>
          <w:szCs w:val="24"/>
        </w:rPr>
        <w:t xml:space="preserve"> la Ley 2 de 1959 sobre economía forestal y conservación de los recursos naturales renovables, estableciendo en el artículo 1 el desarrollo de la economía forestal y protección de los suelos, las aguas y la vida silvestre con carácter de "Zonas Forestales Protectoras" y "Bosques de Interés General" (según la clasificación de que trata el Decreto 2278 de 1953, artículos 3 y 4) </w:t>
      </w:r>
      <w:sdt>
        <w:sdtPr>
          <w:rPr>
            <w:rFonts w:eastAsia="Arial" w:cstheme="minorHAnsi"/>
            <w:color w:val="000000"/>
            <w:szCs w:val="24"/>
          </w:rPr>
          <w:id w:val="-936049148"/>
          <w:citation/>
        </w:sdtPr>
        <w:sdtContent>
          <w:r w:rsidRPr="00FC5B6A">
            <w:rPr>
              <w:rFonts w:eastAsia="Arial" w:cstheme="minorHAnsi"/>
              <w:color w:val="000000"/>
              <w:szCs w:val="24"/>
            </w:rPr>
            <w:fldChar w:fldCharType="begin"/>
          </w:r>
          <w:r w:rsidRPr="00FC5B6A">
            <w:rPr>
              <w:rFonts w:eastAsia="Arial" w:cstheme="minorHAnsi"/>
              <w:color w:val="000000"/>
              <w:szCs w:val="24"/>
              <w:lang w:val="es-ES"/>
            </w:rPr>
            <w:instrText xml:space="preserve"> CITATION Min53 \l 3082 </w:instrText>
          </w:r>
          <w:r w:rsidRPr="00FC5B6A">
            <w:rPr>
              <w:rFonts w:eastAsia="Arial" w:cstheme="minorHAnsi"/>
              <w:color w:val="000000"/>
              <w:szCs w:val="24"/>
            </w:rPr>
            <w:fldChar w:fldCharType="separate"/>
          </w:r>
          <w:r w:rsidRPr="00FC5B6A">
            <w:rPr>
              <w:rFonts w:eastAsia="Arial" w:cstheme="minorHAnsi"/>
              <w:noProof/>
              <w:color w:val="000000"/>
              <w:szCs w:val="24"/>
              <w:lang w:val="es-ES"/>
            </w:rPr>
            <w:t>(Ministerio de Agricultura y Desarrollo rural, 1953)</w:t>
          </w:r>
          <w:r w:rsidRPr="00FC5B6A">
            <w:rPr>
              <w:rFonts w:eastAsia="Arial" w:cstheme="minorHAnsi"/>
              <w:color w:val="000000"/>
              <w:szCs w:val="24"/>
            </w:rPr>
            <w:fldChar w:fldCharType="end"/>
          </w:r>
        </w:sdtContent>
      </w:sdt>
      <w:r w:rsidR="00A61FE9" w:rsidRPr="00FC5B6A">
        <w:rPr>
          <w:rFonts w:eastAsia="Arial" w:cstheme="minorHAnsi"/>
          <w:color w:val="000000"/>
          <w:szCs w:val="24"/>
        </w:rPr>
        <w:t xml:space="preserve">, </w:t>
      </w:r>
      <w:r w:rsidRPr="00FC5B6A">
        <w:rPr>
          <w:rFonts w:eastAsia="Arial" w:cstheme="minorHAnsi"/>
          <w:color w:val="000000"/>
          <w:szCs w:val="24"/>
        </w:rPr>
        <w:t>para lo cual se establecen siete (7) grandes zonas de reserva forestal, de acuerdo a los límites que se definen para cada bosque nacional:</w:t>
      </w:r>
    </w:p>
    <w:p w14:paraId="3D878468" w14:textId="77777777" w:rsidR="00FE3238" w:rsidRPr="00FC5B6A" w:rsidRDefault="00FE3238" w:rsidP="00B65467">
      <w:pPr>
        <w:pStyle w:val="Prrafodelista"/>
        <w:numPr>
          <w:ilvl w:val="0"/>
          <w:numId w:val="7"/>
        </w:numPr>
        <w:pBdr>
          <w:top w:val="nil"/>
          <w:left w:val="nil"/>
          <w:bottom w:val="nil"/>
          <w:right w:val="nil"/>
          <w:between w:val="nil"/>
        </w:pBdr>
        <w:rPr>
          <w:rFonts w:eastAsia="Arial" w:cstheme="minorHAnsi"/>
          <w:color w:val="000000"/>
          <w:sz w:val="22"/>
          <w:szCs w:val="24"/>
        </w:rPr>
      </w:pPr>
      <w:r w:rsidRPr="00FC5B6A">
        <w:rPr>
          <w:rFonts w:eastAsia="Arial" w:cstheme="minorHAnsi"/>
          <w:color w:val="000000"/>
          <w:sz w:val="22"/>
          <w:szCs w:val="24"/>
        </w:rPr>
        <w:t>Zona de Reserva Forestal del Pacífico</w:t>
      </w:r>
    </w:p>
    <w:p w14:paraId="12EF6233" w14:textId="77777777" w:rsidR="00FE3238" w:rsidRPr="00FC5B6A" w:rsidRDefault="00FE3238" w:rsidP="00B65467">
      <w:pPr>
        <w:pStyle w:val="Prrafodelista"/>
        <w:numPr>
          <w:ilvl w:val="0"/>
          <w:numId w:val="7"/>
        </w:numPr>
        <w:pBdr>
          <w:top w:val="nil"/>
          <w:left w:val="nil"/>
          <w:bottom w:val="nil"/>
          <w:right w:val="nil"/>
          <w:between w:val="nil"/>
        </w:pBdr>
        <w:rPr>
          <w:rFonts w:eastAsia="Arial" w:cstheme="minorHAnsi"/>
          <w:color w:val="000000"/>
          <w:sz w:val="22"/>
          <w:szCs w:val="24"/>
        </w:rPr>
      </w:pPr>
      <w:r w:rsidRPr="00FC5B6A">
        <w:rPr>
          <w:rFonts w:eastAsia="Arial" w:cstheme="minorHAnsi"/>
          <w:color w:val="000000"/>
          <w:sz w:val="22"/>
          <w:szCs w:val="24"/>
        </w:rPr>
        <w:t>Zona de Reserva Forestal del Río Magdalena</w:t>
      </w:r>
    </w:p>
    <w:p w14:paraId="0496FEE5" w14:textId="77777777" w:rsidR="00FE3238" w:rsidRPr="00FC5B6A" w:rsidRDefault="00FE3238" w:rsidP="00B65467">
      <w:pPr>
        <w:pStyle w:val="Prrafodelista"/>
        <w:numPr>
          <w:ilvl w:val="0"/>
          <w:numId w:val="7"/>
        </w:numPr>
        <w:pBdr>
          <w:top w:val="nil"/>
          <w:left w:val="nil"/>
          <w:bottom w:val="nil"/>
          <w:right w:val="nil"/>
          <w:between w:val="nil"/>
        </w:pBdr>
        <w:rPr>
          <w:rFonts w:eastAsia="Arial" w:cstheme="minorHAnsi"/>
          <w:color w:val="000000"/>
          <w:sz w:val="22"/>
          <w:szCs w:val="24"/>
        </w:rPr>
      </w:pPr>
      <w:r w:rsidRPr="00FC5B6A">
        <w:rPr>
          <w:rFonts w:eastAsia="Arial" w:cstheme="minorHAnsi"/>
          <w:color w:val="000000"/>
          <w:sz w:val="22"/>
          <w:szCs w:val="24"/>
        </w:rPr>
        <w:t>Zona de Reserva Forestal de la Sierra Nevada de Santa Marta</w:t>
      </w:r>
    </w:p>
    <w:p w14:paraId="2FBD4BCB" w14:textId="77777777" w:rsidR="00FE3238" w:rsidRPr="00FC5B6A" w:rsidRDefault="00FE3238" w:rsidP="00B65467">
      <w:pPr>
        <w:pStyle w:val="Prrafodelista"/>
        <w:numPr>
          <w:ilvl w:val="0"/>
          <w:numId w:val="7"/>
        </w:numPr>
        <w:pBdr>
          <w:top w:val="nil"/>
          <w:left w:val="nil"/>
          <w:bottom w:val="nil"/>
          <w:right w:val="nil"/>
          <w:between w:val="nil"/>
        </w:pBdr>
        <w:rPr>
          <w:rFonts w:eastAsia="Arial" w:cstheme="minorHAnsi"/>
          <w:color w:val="000000"/>
          <w:sz w:val="22"/>
          <w:szCs w:val="24"/>
        </w:rPr>
      </w:pPr>
      <w:r w:rsidRPr="00FC5B6A">
        <w:rPr>
          <w:rFonts w:eastAsia="Arial" w:cstheme="minorHAnsi"/>
          <w:color w:val="000000"/>
          <w:sz w:val="22"/>
          <w:szCs w:val="24"/>
        </w:rPr>
        <w:t>Zona de Reserva Forestal de la Serranía de los Motilones</w:t>
      </w:r>
    </w:p>
    <w:p w14:paraId="0C1171DB" w14:textId="77777777" w:rsidR="00FE3238" w:rsidRPr="00FC5B6A" w:rsidRDefault="00FE3238" w:rsidP="00B65467">
      <w:pPr>
        <w:pStyle w:val="Prrafodelista"/>
        <w:numPr>
          <w:ilvl w:val="0"/>
          <w:numId w:val="7"/>
        </w:numPr>
        <w:pBdr>
          <w:top w:val="nil"/>
          <w:left w:val="nil"/>
          <w:bottom w:val="nil"/>
          <w:right w:val="nil"/>
          <w:between w:val="nil"/>
        </w:pBdr>
        <w:rPr>
          <w:rFonts w:eastAsia="Arial" w:cstheme="minorHAnsi"/>
          <w:color w:val="000000"/>
          <w:sz w:val="22"/>
          <w:szCs w:val="24"/>
        </w:rPr>
      </w:pPr>
      <w:r w:rsidRPr="00FC5B6A">
        <w:rPr>
          <w:rFonts w:eastAsia="Arial" w:cstheme="minorHAnsi"/>
          <w:color w:val="000000"/>
          <w:sz w:val="22"/>
          <w:szCs w:val="24"/>
        </w:rPr>
        <w:t>Zona de Reserva Forestal del Cocuy</w:t>
      </w:r>
    </w:p>
    <w:p w14:paraId="1449A080" w14:textId="77777777" w:rsidR="00FE3238" w:rsidRPr="00FC5B6A" w:rsidRDefault="00FE3238" w:rsidP="00B65467">
      <w:pPr>
        <w:pStyle w:val="Prrafodelista"/>
        <w:numPr>
          <w:ilvl w:val="0"/>
          <w:numId w:val="7"/>
        </w:numPr>
        <w:pBdr>
          <w:top w:val="nil"/>
          <w:left w:val="nil"/>
          <w:bottom w:val="nil"/>
          <w:right w:val="nil"/>
          <w:between w:val="nil"/>
        </w:pBdr>
        <w:rPr>
          <w:rFonts w:eastAsia="Arial" w:cstheme="minorHAnsi"/>
          <w:color w:val="000000"/>
          <w:sz w:val="22"/>
          <w:szCs w:val="24"/>
        </w:rPr>
      </w:pPr>
      <w:r w:rsidRPr="00FC5B6A">
        <w:rPr>
          <w:rFonts w:eastAsia="Arial" w:cstheme="minorHAnsi"/>
          <w:color w:val="000000"/>
          <w:sz w:val="22"/>
          <w:szCs w:val="24"/>
        </w:rPr>
        <w:t>Zona de Reserva Forestal de la Amazonía</w:t>
      </w:r>
    </w:p>
    <w:p w14:paraId="679EFBFB" w14:textId="77777777" w:rsidR="00FE3238" w:rsidRPr="00FC5B6A" w:rsidRDefault="00FE3238" w:rsidP="00B65467">
      <w:pPr>
        <w:pStyle w:val="Prrafodelista"/>
        <w:numPr>
          <w:ilvl w:val="0"/>
          <w:numId w:val="7"/>
        </w:numPr>
        <w:pBdr>
          <w:top w:val="nil"/>
          <w:left w:val="nil"/>
          <w:bottom w:val="nil"/>
          <w:right w:val="nil"/>
          <w:between w:val="nil"/>
        </w:pBdr>
        <w:rPr>
          <w:rFonts w:eastAsia="Arial" w:cstheme="minorHAnsi"/>
          <w:color w:val="000000"/>
          <w:sz w:val="22"/>
          <w:szCs w:val="24"/>
        </w:rPr>
      </w:pPr>
      <w:r w:rsidRPr="00FC5B6A">
        <w:rPr>
          <w:rFonts w:eastAsia="Arial" w:cstheme="minorHAnsi"/>
          <w:color w:val="000000"/>
          <w:sz w:val="22"/>
          <w:szCs w:val="24"/>
        </w:rPr>
        <w:t>Zona de Reserva Forestal Central</w:t>
      </w:r>
    </w:p>
    <w:p w14:paraId="5935AFD6" w14:textId="77777777" w:rsidR="00FE3238" w:rsidRPr="00FC5B6A" w:rsidRDefault="00FE3238" w:rsidP="00FE3238">
      <w:pPr>
        <w:pBdr>
          <w:top w:val="nil"/>
          <w:left w:val="nil"/>
          <w:bottom w:val="nil"/>
          <w:right w:val="nil"/>
          <w:between w:val="nil"/>
        </w:pBdr>
        <w:jc w:val="both"/>
        <w:rPr>
          <w:rFonts w:eastAsia="Arial" w:cstheme="minorHAnsi"/>
          <w:color w:val="000000"/>
          <w:szCs w:val="24"/>
        </w:rPr>
      </w:pPr>
    </w:p>
    <w:p w14:paraId="7BA794E8" w14:textId="78C0BE31" w:rsidR="00FE3238" w:rsidRPr="00FC5B6A" w:rsidRDefault="00FE3238" w:rsidP="00FE3238">
      <w:pPr>
        <w:pBdr>
          <w:top w:val="nil"/>
          <w:left w:val="nil"/>
          <w:bottom w:val="nil"/>
          <w:right w:val="nil"/>
          <w:between w:val="nil"/>
        </w:pBdr>
        <w:jc w:val="both"/>
        <w:rPr>
          <w:rFonts w:eastAsia="Arial" w:cstheme="minorHAnsi"/>
          <w:color w:val="000000"/>
          <w:szCs w:val="24"/>
        </w:rPr>
      </w:pPr>
      <w:r w:rsidRPr="00FC5B6A">
        <w:rPr>
          <w:rFonts w:eastAsia="Arial" w:cstheme="minorHAnsi"/>
          <w:color w:val="000000"/>
          <w:szCs w:val="24"/>
        </w:rPr>
        <w:t xml:space="preserve">Es de resaltar que, en los artículos 4 y 9 de la Ley 2 de 1959, se señala que los bosques existentes en las Zonas de </w:t>
      </w:r>
      <w:r w:rsidR="00240B91" w:rsidRPr="00FC5B6A">
        <w:rPr>
          <w:rFonts w:eastAsia="Arial" w:cstheme="minorHAnsi"/>
          <w:color w:val="000000"/>
          <w:szCs w:val="24"/>
        </w:rPr>
        <w:t>r</w:t>
      </w:r>
      <w:r w:rsidRPr="00FC5B6A">
        <w:rPr>
          <w:rFonts w:eastAsia="Arial" w:cstheme="minorHAnsi"/>
          <w:color w:val="000000"/>
          <w:szCs w:val="24"/>
        </w:rPr>
        <w:t xml:space="preserve">eserva </w:t>
      </w:r>
      <w:r w:rsidR="00240B91" w:rsidRPr="00FC5B6A">
        <w:rPr>
          <w:rFonts w:eastAsia="Arial" w:cstheme="minorHAnsi"/>
          <w:color w:val="000000"/>
          <w:szCs w:val="24"/>
        </w:rPr>
        <w:t>f</w:t>
      </w:r>
      <w:r w:rsidRPr="00FC5B6A">
        <w:rPr>
          <w:rFonts w:eastAsia="Arial" w:cstheme="minorHAnsi"/>
          <w:color w:val="000000"/>
          <w:szCs w:val="24"/>
        </w:rPr>
        <w:t>orestal por ella declaradas</w:t>
      </w:r>
      <w:r w:rsidR="00267E45" w:rsidRPr="00FC5B6A">
        <w:rPr>
          <w:rFonts w:eastAsia="Arial" w:cstheme="minorHAnsi"/>
          <w:color w:val="000000"/>
          <w:szCs w:val="24"/>
        </w:rPr>
        <w:t>,</w:t>
      </w:r>
      <w:r w:rsidRPr="00FC5B6A">
        <w:rPr>
          <w:rFonts w:eastAsia="Arial" w:cstheme="minorHAnsi"/>
          <w:color w:val="000000"/>
          <w:szCs w:val="24"/>
        </w:rPr>
        <w:t xml:space="preserve"> debían someterse a un plan de ordenación forestal y que el gobierno debía reglamentar la utilización de los terrenos de propiedad privada que se encuentren localizados dentro de sus límites, con el fin de conservar los suelos, corrientes de agua y asegurar su adecuada utilización. En concordancia a lo anterior, el artículo 206 del Decreto 2811 de 1974 </w:t>
      </w:r>
      <w:sdt>
        <w:sdtPr>
          <w:rPr>
            <w:rFonts w:eastAsia="Arial" w:cstheme="minorHAnsi"/>
            <w:color w:val="000000"/>
            <w:szCs w:val="24"/>
          </w:rPr>
          <w:id w:val="609251184"/>
          <w:citation/>
        </w:sdtPr>
        <w:sdtContent>
          <w:r w:rsidRPr="00FC5B6A">
            <w:rPr>
              <w:rFonts w:eastAsia="Arial" w:cstheme="minorHAnsi"/>
              <w:color w:val="000000"/>
              <w:szCs w:val="24"/>
            </w:rPr>
            <w:fldChar w:fldCharType="begin"/>
          </w:r>
          <w:r w:rsidRPr="00FC5B6A">
            <w:rPr>
              <w:rFonts w:eastAsia="Arial" w:cstheme="minorHAnsi"/>
              <w:color w:val="000000"/>
              <w:szCs w:val="24"/>
              <w:lang w:val="es-ES"/>
            </w:rPr>
            <w:instrText xml:space="preserve">CITATION Gob74 \l 3082 </w:instrText>
          </w:r>
          <w:r w:rsidRPr="00FC5B6A">
            <w:rPr>
              <w:rFonts w:eastAsia="Arial" w:cstheme="minorHAnsi"/>
              <w:color w:val="000000"/>
              <w:szCs w:val="24"/>
            </w:rPr>
            <w:fldChar w:fldCharType="separate"/>
          </w:r>
          <w:r w:rsidRPr="00FC5B6A">
            <w:rPr>
              <w:rFonts w:eastAsia="Arial" w:cstheme="minorHAnsi"/>
              <w:noProof/>
              <w:color w:val="000000"/>
              <w:szCs w:val="24"/>
              <w:lang w:val="es-ES"/>
            </w:rPr>
            <w:t>(Gobierno Nacional, 1974)</w:t>
          </w:r>
          <w:r w:rsidRPr="00FC5B6A">
            <w:rPr>
              <w:rFonts w:eastAsia="Arial" w:cstheme="minorHAnsi"/>
              <w:color w:val="000000"/>
              <w:szCs w:val="24"/>
            </w:rPr>
            <w:fldChar w:fldCharType="end"/>
          </w:r>
        </w:sdtContent>
      </w:sdt>
      <w:r w:rsidRPr="00FC5B6A">
        <w:rPr>
          <w:rFonts w:eastAsia="Arial" w:cstheme="minorHAnsi"/>
          <w:color w:val="000000"/>
          <w:szCs w:val="24"/>
        </w:rPr>
        <w:t xml:space="preserve"> correspondiente al Código Nacional de Recursos Naturales Renovables y de Protección al Medio Ambiente, estableció que las Áreas de </w:t>
      </w:r>
      <w:r w:rsidR="00240B91" w:rsidRPr="00FC5B6A">
        <w:rPr>
          <w:rFonts w:eastAsia="Arial" w:cstheme="minorHAnsi"/>
          <w:color w:val="000000"/>
          <w:szCs w:val="24"/>
        </w:rPr>
        <w:t>r</w:t>
      </w:r>
      <w:r w:rsidRPr="00FC5B6A">
        <w:rPr>
          <w:rFonts w:eastAsia="Arial" w:cstheme="minorHAnsi"/>
          <w:color w:val="000000"/>
          <w:szCs w:val="24"/>
        </w:rPr>
        <w:t>eserva Forestal son las zonas de propiedad pública o privada reservadas para destinarlas exclusivamente al establecimiento o mantenimiento y utilización racional de áreas forestales productoras, protectoras o protectoras-productoras.</w:t>
      </w:r>
    </w:p>
    <w:p w14:paraId="6C92A4BC" w14:textId="77777777" w:rsidR="00782E91" w:rsidRPr="00FC5B6A" w:rsidRDefault="00782E91" w:rsidP="00FE3238">
      <w:pPr>
        <w:pBdr>
          <w:top w:val="nil"/>
          <w:left w:val="nil"/>
          <w:bottom w:val="nil"/>
          <w:right w:val="nil"/>
          <w:between w:val="nil"/>
        </w:pBdr>
        <w:jc w:val="both"/>
        <w:rPr>
          <w:rFonts w:eastAsia="Arial" w:cstheme="minorHAnsi"/>
          <w:color w:val="000000"/>
          <w:szCs w:val="24"/>
        </w:rPr>
      </w:pPr>
    </w:p>
    <w:p w14:paraId="67088542" w14:textId="71331E82" w:rsidR="00FE3238" w:rsidRPr="00FC5B6A" w:rsidRDefault="00FE3238" w:rsidP="00FE3238">
      <w:pPr>
        <w:pBdr>
          <w:top w:val="nil"/>
          <w:left w:val="nil"/>
          <w:bottom w:val="nil"/>
          <w:right w:val="nil"/>
          <w:between w:val="nil"/>
        </w:pBdr>
        <w:jc w:val="both"/>
        <w:rPr>
          <w:rFonts w:eastAsia="Arial" w:cstheme="minorHAnsi"/>
          <w:i/>
          <w:iCs/>
          <w:color w:val="000000"/>
          <w:szCs w:val="24"/>
        </w:rPr>
      </w:pPr>
      <w:r w:rsidRPr="00FC5B6A">
        <w:rPr>
          <w:rFonts w:eastAsia="Arial" w:cstheme="minorHAnsi"/>
          <w:color w:val="000000"/>
          <w:szCs w:val="24"/>
        </w:rPr>
        <w:lastRenderedPageBreak/>
        <w:t xml:space="preserve">Ahora bien, el parágrafo 3 del artículo 204 de la Ley 1450 de 2011 correspondiente al Plan Nacional de Desarrollo 2010-2014 determinó que </w:t>
      </w:r>
      <w:r w:rsidRPr="00FC5B6A">
        <w:rPr>
          <w:rFonts w:eastAsia="Arial" w:cstheme="minorHAnsi"/>
          <w:i/>
          <w:iCs/>
          <w:color w:val="000000"/>
          <w:szCs w:val="24"/>
        </w:rPr>
        <w:t>“Las áreas de reserva forestal establecidas por el artículo 1</w:t>
      </w:r>
      <w:r w:rsidR="00782E91" w:rsidRPr="00FC5B6A">
        <w:rPr>
          <w:rFonts w:eastAsia="Arial" w:cstheme="minorHAnsi"/>
          <w:i/>
          <w:iCs/>
          <w:color w:val="000000"/>
          <w:szCs w:val="24"/>
        </w:rPr>
        <w:t>°</w:t>
      </w:r>
      <w:r w:rsidRPr="00FC5B6A">
        <w:rPr>
          <w:rFonts w:eastAsia="Arial" w:cstheme="minorHAnsi"/>
          <w:i/>
          <w:iCs/>
          <w:color w:val="000000"/>
          <w:szCs w:val="24"/>
        </w:rPr>
        <w:t xml:space="preserve"> de la Ley 2ª de 1959 y las demás áreas de reserva forestal nacionales, únicamente podrán ser objeto de </w:t>
      </w:r>
      <w:proofErr w:type="spellStart"/>
      <w:r w:rsidRPr="00FC5B6A">
        <w:rPr>
          <w:rFonts w:eastAsia="Arial" w:cstheme="minorHAnsi"/>
          <w:i/>
          <w:iCs/>
          <w:color w:val="000000"/>
          <w:szCs w:val="24"/>
        </w:rPr>
        <w:t>realinderación</w:t>
      </w:r>
      <w:proofErr w:type="spellEnd"/>
      <w:r w:rsidRPr="00FC5B6A">
        <w:rPr>
          <w:rFonts w:eastAsia="Arial" w:cstheme="minorHAnsi"/>
          <w:i/>
          <w:iCs/>
          <w:color w:val="000000"/>
          <w:szCs w:val="24"/>
        </w:rPr>
        <w:t>, sustracción, zonificación, ordenamiento, recategorización, incorporación, integración y definición del régimen de usos, por parte del Ministerio de Ambiente, Vivienda y Desarrollo Territorial o la entidad que haga sus veces con base en estudios técnicos, económicos, sociales y ambientales y con la colaboración del Ministerio respectivo según el área de interés de que se trate”</w:t>
      </w:r>
      <w:sdt>
        <w:sdtPr>
          <w:rPr>
            <w:rFonts w:eastAsia="Arial" w:cstheme="minorHAnsi"/>
            <w:i/>
            <w:iCs/>
            <w:color w:val="000000"/>
            <w:szCs w:val="24"/>
          </w:rPr>
          <w:id w:val="-711661924"/>
          <w:citation/>
        </w:sdtPr>
        <w:sdtContent>
          <w:r w:rsidRPr="00FC5B6A">
            <w:rPr>
              <w:rFonts w:eastAsia="Arial" w:cstheme="minorHAnsi"/>
              <w:i/>
              <w:iCs/>
              <w:color w:val="000000"/>
              <w:szCs w:val="24"/>
            </w:rPr>
            <w:fldChar w:fldCharType="begin"/>
          </w:r>
          <w:r w:rsidRPr="00FC5B6A">
            <w:rPr>
              <w:rFonts w:eastAsia="Arial" w:cstheme="minorHAnsi"/>
              <w:i/>
              <w:iCs/>
              <w:color w:val="000000"/>
              <w:szCs w:val="24"/>
              <w:lang w:val="es-ES"/>
            </w:rPr>
            <w:instrText xml:space="preserve"> CITATION Gob11 \l 3082 </w:instrText>
          </w:r>
          <w:r w:rsidRPr="00FC5B6A">
            <w:rPr>
              <w:rFonts w:eastAsia="Arial" w:cstheme="minorHAnsi"/>
              <w:i/>
              <w:iCs/>
              <w:color w:val="000000"/>
              <w:szCs w:val="24"/>
            </w:rPr>
            <w:fldChar w:fldCharType="separate"/>
          </w:r>
          <w:r w:rsidRPr="00FC5B6A">
            <w:rPr>
              <w:rFonts w:eastAsia="Arial" w:cstheme="minorHAnsi"/>
              <w:i/>
              <w:iCs/>
              <w:noProof/>
              <w:color w:val="000000"/>
              <w:szCs w:val="24"/>
              <w:lang w:val="es-ES"/>
            </w:rPr>
            <w:t xml:space="preserve"> </w:t>
          </w:r>
          <w:r w:rsidRPr="00FC5B6A">
            <w:rPr>
              <w:rFonts w:eastAsia="Arial" w:cstheme="minorHAnsi"/>
              <w:noProof/>
              <w:color w:val="000000"/>
              <w:szCs w:val="24"/>
              <w:lang w:val="es-ES"/>
            </w:rPr>
            <w:t>(Gobierno Nacional, 2011)</w:t>
          </w:r>
          <w:r w:rsidRPr="00FC5B6A">
            <w:rPr>
              <w:rFonts w:eastAsia="Arial" w:cstheme="minorHAnsi"/>
              <w:i/>
              <w:iCs/>
              <w:color w:val="000000"/>
              <w:szCs w:val="24"/>
            </w:rPr>
            <w:fldChar w:fldCharType="end"/>
          </w:r>
        </w:sdtContent>
      </w:sdt>
      <w:r w:rsidRPr="00FC5B6A">
        <w:rPr>
          <w:rFonts w:eastAsia="Arial" w:cstheme="minorHAnsi"/>
          <w:i/>
          <w:iCs/>
          <w:color w:val="000000"/>
          <w:szCs w:val="24"/>
        </w:rPr>
        <w:t xml:space="preserve">. </w:t>
      </w:r>
    </w:p>
    <w:p w14:paraId="76C65218" w14:textId="73EC6047" w:rsidR="00B93504" w:rsidRPr="00FC5B6A" w:rsidRDefault="00FE3238" w:rsidP="1A24BF23">
      <w:pPr>
        <w:pBdr>
          <w:top w:val="nil"/>
          <w:left w:val="nil"/>
          <w:bottom w:val="nil"/>
          <w:right w:val="nil"/>
          <w:between w:val="nil"/>
        </w:pBdr>
        <w:jc w:val="both"/>
        <w:rPr>
          <w:rFonts w:eastAsia="Arial"/>
          <w:color w:val="000000"/>
        </w:rPr>
      </w:pPr>
      <w:r w:rsidRPr="00FC5B6A">
        <w:rPr>
          <w:rFonts w:eastAsia="Arial"/>
          <w:color w:val="000000"/>
        </w:rPr>
        <w:t xml:space="preserve">Por lo anterior, el Ministerio de Ambiente y Desarrollo Sostenible en el marco de las facultades asignadas por la Ley 99 de 1993, por el Decreto 3570 de 2011 y por el Decreto 1450 de 2011, realizó la zonificación de las siete (7) Zonas de </w:t>
      </w:r>
      <w:r w:rsidR="00240B91" w:rsidRPr="00FC5B6A">
        <w:rPr>
          <w:rFonts w:eastAsia="Arial"/>
          <w:color w:val="000000"/>
        </w:rPr>
        <w:t>r</w:t>
      </w:r>
      <w:r w:rsidRPr="00FC5B6A">
        <w:rPr>
          <w:rFonts w:eastAsia="Arial"/>
          <w:color w:val="000000"/>
        </w:rPr>
        <w:t xml:space="preserve">eservas </w:t>
      </w:r>
      <w:r w:rsidR="00240B91" w:rsidRPr="00FC5B6A">
        <w:rPr>
          <w:rFonts w:eastAsia="Arial"/>
          <w:color w:val="000000"/>
        </w:rPr>
        <w:t>f</w:t>
      </w:r>
      <w:r w:rsidRPr="00FC5B6A">
        <w:rPr>
          <w:rFonts w:eastAsia="Arial"/>
          <w:color w:val="000000"/>
        </w:rPr>
        <w:t>orestal establecidas por la Ley 2</w:t>
      </w:r>
      <w:r w:rsidR="009F5276" w:rsidRPr="00FC5B6A">
        <w:rPr>
          <w:rFonts w:eastAsia="Arial"/>
          <w:color w:val="000000"/>
        </w:rPr>
        <w:t>ª.</w:t>
      </w:r>
      <w:r w:rsidRPr="00FC5B6A">
        <w:rPr>
          <w:rFonts w:eastAsia="Arial"/>
          <w:color w:val="000000"/>
        </w:rPr>
        <w:t xml:space="preserve"> de 1959 y estableció el ordenamiento de estas áreas con el propósito de establecer los lineamientos generales para orientar los procesos de ordenación ambiental al interior de estas, sirviendo como insumo planificador y orientador en materia ambiental para los diferentes sectores productivos del país, sin generar cambios en el uso del suelo, ni cambios que impliquen modificar la naturaleza misma de la Reserva Forestal </w:t>
      </w:r>
      <w:sdt>
        <w:sdtPr>
          <w:rPr>
            <w:rFonts w:eastAsia="Arial"/>
            <w:color w:val="000000"/>
          </w:rPr>
          <w:id w:val="-2014830544"/>
          <w:citation/>
        </w:sdtPr>
        <w:sdtEndPr>
          <w:rPr>
            <w:color w:val="000000" w:themeColor="text1"/>
          </w:rPr>
        </w:sdtEndPr>
        <w:sdtContent>
          <w:r w:rsidRPr="00FC5B6A">
            <w:rPr>
              <w:rFonts w:eastAsia="Arial"/>
              <w:color w:val="000000"/>
            </w:rPr>
            <w:fldChar w:fldCharType="begin"/>
          </w:r>
          <w:r w:rsidRPr="00FC5B6A">
            <w:rPr>
              <w:rFonts w:eastAsia="Arial"/>
              <w:color w:val="000000"/>
              <w:lang w:val="es-ES"/>
            </w:rPr>
            <w:instrText xml:space="preserve"> CITATION Gob111 \l 3082 </w:instrText>
          </w:r>
          <w:r w:rsidRPr="00FC5B6A">
            <w:rPr>
              <w:rFonts w:eastAsia="Arial"/>
              <w:color w:val="000000"/>
            </w:rPr>
            <w:fldChar w:fldCharType="separate"/>
          </w:r>
          <w:r w:rsidRPr="00FC5B6A">
            <w:rPr>
              <w:rFonts w:eastAsia="Arial"/>
              <w:noProof/>
              <w:color w:val="000000"/>
              <w:lang w:val="es-ES"/>
            </w:rPr>
            <w:t>(Gobierno de Colombia, 2011)</w:t>
          </w:r>
          <w:r w:rsidRPr="00FC5B6A">
            <w:rPr>
              <w:rFonts w:eastAsia="Arial"/>
              <w:color w:val="000000"/>
            </w:rPr>
            <w:fldChar w:fldCharType="end"/>
          </w:r>
        </w:sdtContent>
      </w:sdt>
      <w:r w:rsidRPr="00FC5B6A">
        <w:rPr>
          <w:rFonts w:eastAsia="Arial"/>
          <w:color w:val="000000"/>
        </w:rPr>
        <w:t>.</w:t>
      </w:r>
    </w:p>
    <w:p w14:paraId="2EEAC28A" w14:textId="640389B2" w:rsidR="00DE4E81" w:rsidRPr="00FC5B6A" w:rsidRDefault="00FE3238" w:rsidP="00FE3238">
      <w:pPr>
        <w:pBdr>
          <w:top w:val="nil"/>
          <w:left w:val="nil"/>
          <w:bottom w:val="nil"/>
          <w:right w:val="nil"/>
          <w:between w:val="nil"/>
        </w:pBdr>
        <w:jc w:val="both"/>
        <w:rPr>
          <w:rFonts w:eastAsia="Arial"/>
          <w:color w:val="000000"/>
        </w:rPr>
      </w:pPr>
      <w:r w:rsidRPr="00FC5B6A">
        <w:rPr>
          <w:rFonts w:eastAsia="Arial" w:cstheme="minorHAnsi"/>
          <w:color w:val="000000"/>
          <w:szCs w:val="24"/>
        </w:rPr>
        <w:t>En este sentido, la zonificación permit</w:t>
      </w:r>
      <w:r w:rsidR="00B85478" w:rsidRPr="00FC5B6A">
        <w:rPr>
          <w:rFonts w:eastAsia="Arial" w:cstheme="minorHAnsi"/>
          <w:color w:val="000000"/>
          <w:szCs w:val="24"/>
        </w:rPr>
        <w:t>ió</w:t>
      </w:r>
      <w:r w:rsidRPr="00FC5B6A">
        <w:rPr>
          <w:rFonts w:eastAsia="Arial" w:cstheme="minorHAnsi"/>
          <w:color w:val="000000"/>
          <w:szCs w:val="24"/>
        </w:rPr>
        <w:t xml:space="preserve"> definir tres tipos de zonas:</w:t>
      </w:r>
    </w:p>
    <w:p w14:paraId="748686BC" w14:textId="5A8728D6" w:rsidR="00DE4E81" w:rsidRPr="00FC5B6A" w:rsidRDefault="00DE4E81" w:rsidP="00DE4E81">
      <w:pPr>
        <w:spacing w:after="0" w:line="240" w:lineRule="auto"/>
        <w:jc w:val="both"/>
        <w:rPr>
          <w:rFonts w:eastAsia="Arial"/>
          <w:color w:val="000000"/>
        </w:rPr>
      </w:pPr>
      <w:r w:rsidRPr="00FC5B6A">
        <w:rPr>
          <w:rFonts w:eastAsia="Arial"/>
          <w:b/>
          <w:bCs/>
          <w:color w:val="000000"/>
        </w:rPr>
        <w:t>Zona Tipo A:</w:t>
      </w:r>
      <w:r w:rsidRPr="00FC5B6A">
        <w:rPr>
          <w:rFonts w:eastAsia="Arial"/>
          <w:color w:val="000000"/>
        </w:rPr>
        <w:t xml:space="preserve"> Zonas que garantizan el mantenimiento de los procesos ecológicos básicos necesarios para asegurar la oferta de servicios ecosistémicos, relacionados principalmente con la regulación hídrica y climática; la asimilación de contaminantes del aire y del agua; la formación y protección del suelo; la protección de paisajes singulares y de patrimonio cultural; y el soporte de la diversidad biológica</w:t>
      </w:r>
    </w:p>
    <w:p w14:paraId="67EBE31D" w14:textId="77777777" w:rsidR="00DE4E81" w:rsidRPr="00FC5B6A" w:rsidRDefault="00DE4E81" w:rsidP="00DE4E81">
      <w:pPr>
        <w:spacing w:after="0" w:line="240" w:lineRule="auto"/>
        <w:jc w:val="both"/>
        <w:rPr>
          <w:rFonts w:eastAsia="Arial"/>
          <w:color w:val="000000"/>
        </w:rPr>
      </w:pPr>
    </w:p>
    <w:p w14:paraId="5F74C373" w14:textId="77777777" w:rsidR="00DE4E81" w:rsidRPr="00FC5B6A" w:rsidRDefault="00DE4E81" w:rsidP="00DE4E81">
      <w:pPr>
        <w:spacing w:after="0" w:line="240" w:lineRule="auto"/>
        <w:jc w:val="both"/>
        <w:rPr>
          <w:rFonts w:eastAsia="Arial"/>
          <w:color w:val="000000"/>
        </w:rPr>
      </w:pPr>
      <w:r w:rsidRPr="00FC5B6A">
        <w:rPr>
          <w:rFonts w:eastAsia="Arial"/>
          <w:b/>
          <w:bCs/>
          <w:color w:val="000000"/>
        </w:rPr>
        <w:t>Zona Tipo B:</w:t>
      </w:r>
      <w:r w:rsidRPr="00FC5B6A">
        <w:rPr>
          <w:rFonts w:eastAsia="Arial"/>
          <w:color w:val="000000"/>
        </w:rPr>
        <w:t xml:space="preserve"> Zonas que se caracterizan por tener coberturas favorables para un manejo sostenible del recurso forestal mediante un enfoque de ordenación forestal integral y la gestión integral de la biodiversidad y los servicios ecosistémicos.</w:t>
      </w:r>
    </w:p>
    <w:p w14:paraId="1D7AEC8B" w14:textId="77777777" w:rsidR="00DE4E81" w:rsidRPr="00FC5B6A" w:rsidRDefault="00DE4E81" w:rsidP="00DE4E81">
      <w:pPr>
        <w:spacing w:after="0" w:line="240" w:lineRule="auto"/>
        <w:jc w:val="both"/>
        <w:rPr>
          <w:rFonts w:eastAsia="Arial"/>
          <w:color w:val="000000"/>
        </w:rPr>
      </w:pPr>
    </w:p>
    <w:p w14:paraId="54C67723" w14:textId="7394E073" w:rsidR="009E7370" w:rsidRPr="00FC5B6A" w:rsidRDefault="00DE4E81" w:rsidP="00DE4E81">
      <w:pPr>
        <w:pBdr>
          <w:top w:val="nil"/>
          <w:left w:val="nil"/>
          <w:bottom w:val="nil"/>
          <w:right w:val="nil"/>
          <w:between w:val="nil"/>
        </w:pBdr>
        <w:jc w:val="both"/>
        <w:rPr>
          <w:rFonts w:eastAsia="Arial"/>
          <w:color w:val="000000"/>
        </w:rPr>
      </w:pPr>
      <w:r w:rsidRPr="00FC5B6A">
        <w:rPr>
          <w:rFonts w:eastAsia="Arial"/>
          <w:b/>
          <w:bCs/>
          <w:color w:val="000000"/>
        </w:rPr>
        <w:t>Zona tipo C:</w:t>
      </w:r>
      <w:r w:rsidRPr="00FC5B6A">
        <w:rPr>
          <w:rFonts w:eastAsia="Arial"/>
          <w:color w:val="000000"/>
        </w:rPr>
        <w:t xml:space="preserve"> Zonas que por sus características biofísicas ofrecen condiciones para el desarrollo de actividades productivas agroforestales, silvopastoriles y otras compatibles con los objetivos de la Reserva Forestal, que deben incorporar el componente forestal, y que no impliquen la reducción de las áreas de bosque natural presentes en sus diferentes estados</w:t>
      </w:r>
      <w:r w:rsidR="009E7370" w:rsidRPr="00FC5B6A">
        <w:rPr>
          <w:rFonts w:eastAsia="Arial"/>
          <w:color w:val="000000"/>
        </w:rPr>
        <w:t>.</w:t>
      </w:r>
    </w:p>
    <w:p w14:paraId="42FB78EF" w14:textId="10B43FDE" w:rsidR="00FE3238" w:rsidRPr="00FC5B6A" w:rsidRDefault="0983F672" w:rsidP="0983F672">
      <w:pPr>
        <w:pBdr>
          <w:top w:val="nil"/>
          <w:left w:val="nil"/>
          <w:bottom w:val="nil"/>
          <w:right w:val="nil"/>
          <w:between w:val="nil"/>
        </w:pBdr>
        <w:jc w:val="both"/>
        <w:rPr>
          <w:rFonts w:eastAsia="Arial"/>
          <w:color w:val="000000"/>
        </w:rPr>
      </w:pPr>
      <w:r w:rsidRPr="00FC5B6A">
        <w:rPr>
          <w:rFonts w:eastAsia="Arial"/>
          <w:color w:val="000000" w:themeColor="text1"/>
        </w:rPr>
        <w:t>Al respecto, es importante precisar que en las áreas del Sistema Nacional de Áreas Protegidas (SINAP), los territorios colectivos de comunidades negras y resguardos indígenas identificados durante este proceso no fueron objeto de zonificación y ordenamiento. Lo anterior, toda vez que en las áreas protegidas del SINAP rige el plan de manejo que la Autoridad Ambiental correspondiente establezca para dicha área; por otra parte, en los territorios colectivos el ordenamiento lo establece la comunidad mediante los planes de vida o de etnodesarrollo u otros que se establezcan.</w:t>
      </w:r>
    </w:p>
    <w:p w14:paraId="7DB17310" w14:textId="2F31F9CB" w:rsidR="00FE3238" w:rsidRPr="00FC5B6A" w:rsidRDefault="005A4F7E" w:rsidP="00FE3238">
      <w:pPr>
        <w:pBdr>
          <w:top w:val="nil"/>
          <w:left w:val="nil"/>
          <w:bottom w:val="nil"/>
          <w:right w:val="nil"/>
          <w:between w:val="nil"/>
        </w:pBdr>
        <w:jc w:val="both"/>
        <w:rPr>
          <w:rFonts w:eastAsia="Arial" w:cstheme="minorHAnsi"/>
          <w:color w:val="000000"/>
          <w:szCs w:val="24"/>
        </w:rPr>
      </w:pPr>
      <w:r w:rsidRPr="00FC5B6A">
        <w:rPr>
          <w:rFonts w:eastAsia="Arial" w:cstheme="minorHAnsi"/>
          <w:color w:val="000000"/>
          <w:szCs w:val="24"/>
        </w:rPr>
        <w:t>Por otra parte, l</w:t>
      </w:r>
      <w:r w:rsidR="00FE3238" w:rsidRPr="00FC5B6A">
        <w:rPr>
          <w:rFonts w:eastAsia="Arial" w:cstheme="minorHAnsi"/>
          <w:color w:val="000000"/>
          <w:szCs w:val="24"/>
        </w:rPr>
        <w:t xml:space="preserve">as Reservas </w:t>
      </w:r>
      <w:r w:rsidR="00E8113B" w:rsidRPr="00FC5B6A">
        <w:rPr>
          <w:rFonts w:eastAsia="Arial" w:cstheme="minorHAnsi"/>
          <w:color w:val="000000"/>
          <w:szCs w:val="24"/>
        </w:rPr>
        <w:t>f</w:t>
      </w:r>
      <w:r w:rsidR="00FE3238" w:rsidRPr="00FC5B6A">
        <w:rPr>
          <w:rFonts w:eastAsia="Arial" w:cstheme="minorHAnsi"/>
          <w:color w:val="000000"/>
          <w:szCs w:val="24"/>
        </w:rPr>
        <w:t xml:space="preserve">orestales establecidas en la Ley 2 de 1959 son estrategias de conservación </w:t>
      </w:r>
      <w:r w:rsidR="00FE3238" w:rsidRPr="00FC5B6A">
        <w:rPr>
          <w:rFonts w:eastAsia="Arial" w:cstheme="minorHAnsi"/>
          <w:i/>
          <w:iCs/>
          <w:color w:val="000000"/>
          <w:szCs w:val="24"/>
        </w:rPr>
        <w:t>in situ</w:t>
      </w:r>
      <w:r w:rsidR="00FE3238" w:rsidRPr="00FC5B6A">
        <w:rPr>
          <w:rFonts w:eastAsia="Arial" w:cstheme="minorHAnsi"/>
          <w:color w:val="000000"/>
          <w:szCs w:val="24"/>
        </w:rPr>
        <w:t xml:space="preserve"> como lo establece el Decreto 2372 de 2010, recogido por el Decreto 1076 de 2015 en el Artículo 2.2.2.1.3.1., en el cual indica que las categorías de protección y manejo de los recursos naturales renovables, entre ellas las reguladas por la Ley 2 de 1959, mantendrán plena </w:t>
      </w:r>
      <w:r w:rsidR="00FE3238" w:rsidRPr="00FC5B6A">
        <w:rPr>
          <w:rFonts w:eastAsia="Arial" w:cstheme="minorHAnsi"/>
          <w:color w:val="000000"/>
          <w:szCs w:val="24"/>
        </w:rPr>
        <w:lastRenderedPageBreak/>
        <w:t xml:space="preserve">vigencia y continuarán rigiéndose para todos sus efectos por las normas que las regulan, no considerándose las mismas como áreas protegidas sino como estrategias de conservación </w:t>
      </w:r>
      <w:r w:rsidR="00FE3238" w:rsidRPr="00FC5B6A">
        <w:rPr>
          <w:rFonts w:eastAsia="Arial" w:cstheme="minorHAnsi"/>
          <w:i/>
          <w:iCs/>
          <w:color w:val="000000"/>
          <w:szCs w:val="24"/>
        </w:rPr>
        <w:t xml:space="preserve">in situ </w:t>
      </w:r>
      <w:r w:rsidR="00FE3238" w:rsidRPr="00FC5B6A">
        <w:rPr>
          <w:rFonts w:eastAsia="Arial" w:cstheme="minorHAnsi"/>
          <w:color w:val="000000"/>
          <w:szCs w:val="24"/>
        </w:rPr>
        <w:t>aportando a la protección, planeación y manejo de los recursos naturales renovables y al cumplimiento de los objetivos generales de conservación del país.</w:t>
      </w:r>
    </w:p>
    <w:p w14:paraId="60CEBF7A" w14:textId="0D5515C1" w:rsidR="00434A7F" w:rsidRPr="00FC5B6A" w:rsidRDefault="09E58E84" w:rsidP="3C9E7864">
      <w:pPr>
        <w:pBdr>
          <w:top w:val="nil"/>
          <w:left w:val="nil"/>
          <w:bottom w:val="nil"/>
          <w:right w:val="nil"/>
          <w:between w:val="nil"/>
        </w:pBdr>
        <w:jc w:val="both"/>
      </w:pPr>
      <w:r w:rsidRPr="00FC5B6A">
        <w:rPr>
          <w:rFonts w:eastAsia="Arial"/>
          <w:color w:val="000000" w:themeColor="text1"/>
        </w:rPr>
        <w:t>Ahora bien</w:t>
      </w:r>
      <w:r w:rsidR="5C47E9FE" w:rsidRPr="00FC5B6A">
        <w:rPr>
          <w:rFonts w:eastAsia="Arial"/>
          <w:color w:val="000000" w:themeColor="text1"/>
        </w:rPr>
        <w:t>, la Ley 2</w:t>
      </w:r>
      <w:r w:rsidR="5D225910" w:rsidRPr="00FC5B6A">
        <w:rPr>
          <w:rFonts w:eastAsia="Arial"/>
          <w:color w:val="000000" w:themeColor="text1"/>
        </w:rPr>
        <w:t>ª.</w:t>
      </w:r>
      <w:r w:rsidR="5C47E9FE" w:rsidRPr="00FC5B6A">
        <w:rPr>
          <w:rFonts w:eastAsia="Arial"/>
          <w:color w:val="000000" w:themeColor="text1"/>
        </w:rPr>
        <w:t xml:space="preserve"> de 1959 estableció que las áreas delimitadas pueden ser sujeto de ocupación de tierras baldías, enfatizando en incentivar el adecuado manejo de las áreas encaminado a la conservación del agua, los suelos y los bosques. </w:t>
      </w:r>
      <w:r w:rsidR="4056476F" w:rsidRPr="00FC5B6A">
        <w:rPr>
          <w:rFonts w:eastAsia="Arial"/>
          <w:color w:val="000000" w:themeColor="text1"/>
        </w:rPr>
        <w:t>En este sentido la Ley establece que “</w:t>
      </w:r>
      <w:r w:rsidR="4056476F" w:rsidRPr="00FC5B6A">
        <w:rPr>
          <w:i/>
          <w:iCs/>
        </w:rPr>
        <w:t xml:space="preserve">el Gobierno podrá disponer que no serán </w:t>
      </w:r>
      <w:proofErr w:type="spellStart"/>
      <w:r w:rsidR="4056476F" w:rsidRPr="00FC5B6A">
        <w:rPr>
          <w:i/>
          <w:iCs/>
        </w:rPr>
        <w:t>ocupables</w:t>
      </w:r>
      <w:proofErr w:type="spellEnd"/>
      <w:r w:rsidR="4056476F" w:rsidRPr="00FC5B6A">
        <w:rPr>
          <w:i/>
          <w:iCs/>
        </w:rPr>
        <w:t xml:space="preserve"> ni </w:t>
      </w:r>
      <w:r w:rsidR="3B0A950F" w:rsidRPr="00FC5B6A">
        <w:rPr>
          <w:i/>
          <w:iCs/>
        </w:rPr>
        <w:t>susceptibles</w:t>
      </w:r>
      <w:r w:rsidR="4056476F" w:rsidRPr="00FC5B6A">
        <w:rPr>
          <w:i/>
          <w:iCs/>
        </w:rPr>
        <w:t xml:space="preserve"> de adjudicación aquellas porciones de terreno donde la conservación de los bosques sea necesaria para los fines arriba indicados; pero podrá también contemplar la posibilidad de comprender en las adjudicaciones bosques que deban mantenerse para los mismos fines, quedando sujeta en este caso la respectiva adjudicación a la cláusula de reversión si las zonas de bosques adjudicadas fueren objeto de desmonte o no se exploren conforme a las reglamentaciones que dicte el Gobierno.</w:t>
      </w:r>
      <w:r w:rsidR="4056476F" w:rsidRPr="00FC5B6A">
        <w:t>” </w:t>
      </w:r>
    </w:p>
    <w:p w14:paraId="367CD5CA" w14:textId="77705DE1" w:rsidR="00FE3238" w:rsidRPr="00FC5B6A" w:rsidRDefault="4056476F" w:rsidP="3C9E7864">
      <w:pPr>
        <w:pBdr>
          <w:top w:val="nil"/>
          <w:left w:val="nil"/>
          <w:bottom w:val="nil"/>
          <w:right w:val="nil"/>
          <w:between w:val="nil"/>
        </w:pBdr>
        <w:jc w:val="both"/>
        <w:rPr>
          <w:rFonts w:eastAsia="Arial"/>
          <w:color w:val="000000"/>
        </w:rPr>
      </w:pPr>
      <w:r w:rsidRPr="00FC5B6A">
        <w:t>Adicionalmente, en el marco de conservar la flora y fauna la Ley 2</w:t>
      </w:r>
      <w:r w:rsidR="5D225910" w:rsidRPr="00FC5B6A">
        <w:t>ª.</w:t>
      </w:r>
      <w:r w:rsidRPr="00FC5B6A">
        <w:t xml:space="preserve"> de 1959 indic</w:t>
      </w:r>
      <w:r w:rsidR="3CF55D0C" w:rsidRPr="00FC5B6A">
        <w:t>ó</w:t>
      </w:r>
      <w:r w:rsidRPr="00FC5B6A">
        <w:t xml:space="preserve"> que en aquellas zonas qu</w:t>
      </w:r>
      <w:r w:rsidR="1C29BF45" w:rsidRPr="00FC5B6A">
        <w:t>e</w:t>
      </w:r>
      <w:r w:rsidRPr="00FC5B6A">
        <w:t xml:space="preserve"> cue</w:t>
      </w:r>
      <w:r w:rsidR="1C29BF45" w:rsidRPr="00FC5B6A">
        <w:t>n</w:t>
      </w:r>
      <w:r w:rsidRPr="00FC5B6A">
        <w:t>te con concepto favorable</w:t>
      </w:r>
      <w:r w:rsidR="1C29BF45" w:rsidRPr="00FC5B6A">
        <w:t xml:space="preserve">, </w:t>
      </w:r>
      <w:r w:rsidRPr="00FC5B6A">
        <w:t xml:space="preserve">serán delimitadas y reservadas de manera especial, por medio de decretos en las distintas zonas del país y </w:t>
      </w:r>
      <w:r w:rsidR="1C29BF45" w:rsidRPr="00FC5B6A">
        <w:t>se declarar</w:t>
      </w:r>
      <w:r w:rsidR="24F59982" w:rsidRPr="00FC5B6A">
        <w:t>á</w:t>
      </w:r>
      <w:r w:rsidR="1C29BF45" w:rsidRPr="00FC5B6A">
        <w:t xml:space="preserve">n "Parques Nacionales Naturales". </w:t>
      </w:r>
      <w:r w:rsidR="5C47E9FE" w:rsidRPr="00FC5B6A">
        <w:t>De esta manera,</w:t>
      </w:r>
      <w:r w:rsidR="1C29BF45" w:rsidRPr="00FC5B6A">
        <w:t xml:space="preserve"> y en atención a los párrafos que anteceden, </w:t>
      </w:r>
      <w:r w:rsidR="5C47E9FE" w:rsidRPr="00FC5B6A">
        <w:t xml:space="preserve">áreas del </w:t>
      </w:r>
      <w:r w:rsidR="24F59982" w:rsidRPr="00FC5B6A">
        <w:t>SINAP</w:t>
      </w:r>
      <w:r w:rsidR="5C47E9FE" w:rsidRPr="00FC5B6A">
        <w:t xml:space="preserve"> y Territorios Colectivos se traslapan con reservas forestales de Ley 2</w:t>
      </w:r>
      <w:r w:rsidR="5D225910" w:rsidRPr="00FC5B6A">
        <w:t>ª.</w:t>
      </w:r>
      <w:r w:rsidR="5C47E9FE" w:rsidRPr="00FC5B6A">
        <w:t xml:space="preserve"> de 1959.</w:t>
      </w:r>
    </w:p>
    <w:p w14:paraId="6E2277C1" w14:textId="772157EF" w:rsidR="00FE3238" w:rsidRPr="00FC5B6A" w:rsidRDefault="5C47E9FE" w:rsidP="3C9E7864">
      <w:pPr>
        <w:pBdr>
          <w:top w:val="nil"/>
          <w:left w:val="nil"/>
          <w:bottom w:val="nil"/>
          <w:right w:val="nil"/>
          <w:between w:val="nil"/>
        </w:pBdr>
        <w:jc w:val="both"/>
        <w:rPr>
          <w:rFonts w:eastAsia="Arial"/>
          <w:color w:val="000000"/>
        </w:rPr>
      </w:pPr>
      <w:r w:rsidRPr="00FC5B6A">
        <w:rPr>
          <w:rFonts w:eastAsia="Arial"/>
          <w:color w:val="000000" w:themeColor="text1"/>
        </w:rPr>
        <w:t>Teniendo en cuenta lo anterior, en las reservas forestales de Ley 2</w:t>
      </w:r>
      <w:r w:rsidR="5D225910" w:rsidRPr="00FC5B6A">
        <w:rPr>
          <w:rFonts w:eastAsia="Arial"/>
          <w:color w:val="000000" w:themeColor="text1"/>
        </w:rPr>
        <w:t>ª.</w:t>
      </w:r>
      <w:r w:rsidR="3EC5BB65" w:rsidRPr="00FC5B6A">
        <w:rPr>
          <w:rFonts w:eastAsia="Arial"/>
          <w:color w:val="000000" w:themeColor="text1"/>
        </w:rPr>
        <w:t xml:space="preserve"> </w:t>
      </w:r>
      <w:r w:rsidRPr="00FC5B6A">
        <w:rPr>
          <w:rFonts w:eastAsia="Arial"/>
          <w:color w:val="000000" w:themeColor="text1"/>
        </w:rPr>
        <w:t>de 1959</w:t>
      </w:r>
      <w:r w:rsidR="1C29BF45" w:rsidRPr="00FC5B6A">
        <w:rPr>
          <w:rFonts w:eastAsia="Arial"/>
          <w:color w:val="000000" w:themeColor="text1"/>
        </w:rPr>
        <w:t>, el gobierno nacional</w:t>
      </w:r>
      <w:r w:rsidRPr="00FC5B6A">
        <w:rPr>
          <w:rFonts w:eastAsia="Arial"/>
          <w:color w:val="000000" w:themeColor="text1"/>
        </w:rPr>
        <w:t xml:space="preserve"> debe propender por realizar los respectivos procesos </w:t>
      </w:r>
      <w:r w:rsidR="1C29BF45" w:rsidRPr="00FC5B6A">
        <w:rPr>
          <w:rFonts w:eastAsia="Arial"/>
          <w:color w:val="000000" w:themeColor="text1"/>
        </w:rPr>
        <w:t xml:space="preserve">de zonificación y ordenamiento </w:t>
      </w:r>
      <w:r w:rsidRPr="00FC5B6A">
        <w:rPr>
          <w:rFonts w:eastAsia="Arial"/>
        </w:rPr>
        <w:t>de acuerdo con la normativa</w:t>
      </w:r>
      <w:r w:rsidR="1C29BF45" w:rsidRPr="00FC5B6A">
        <w:rPr>
          <w:rFonts w:eastAsia="Arial"/>
          <w:color w:val="000000" w:themeColor="text1"/>
        </w:rPr>
        <w:t>;</w:t>
      </w:r>
      <w:r w:rsidRPr="00FC5B6A">
        <w:rPr>
          <w:rFonts w:eastAsia="Arial"/>
          <w:color w:val="000000" w:themeColor="text1"/>
        </w:rPr>
        <w:t xml:space="preserve"> </w:t>
      </w:r>
      <w:r w:rsidR="1C29BF45" w:rsidRPr="00FC5B6A">
        <w:rPr>
          <w:rFonts w:eastAsia="Arial"/>
          <w:color w:val="000000" w:themeColor="text1"/>
        </w:rPr>
        <w:t>ya sea en la determinación de</w:t>
      </w:r>
      <w:r w:rsidRPr="00FC5B6A">
        <w:rPr>
          <w:rFonts w:eastAsia="Arial"/>
          <w:color w:val="000000" w:themeColor="text1"/>
        </w:rPr>
        <w:t xml:space="preserve"> áreas a proteger </w:t>
      </w:r>
      <w:r w:rsidR="1C29BF45" w:rsidRPr="00FC5B6A">
        <w:rPr>
          <w:rFonts w:eastAsia="Arial"/>
          <w:color w:val="000000" w:themeColor="text1"/>
        </w:rPr>
        <w:t>o</w:t>
      </w:r>
      <w:r w:rsidRPr="00FC5B6A">
        <w:rPr>
          <w:rFonts w:eastAsia="Arial"/>
          <w:color w:val="000000" w:themeColor="text1"/>
        </w:rPr>
        <w:t xml:space="preserve"> preservar, y las que se destinen al manejo sostenible del bosque. Lo anterior sin perder de vista que existe una población campesina y étnica, con diversos procesos socioeconómicos, </w:t>
      </w:r>
      <w:r w:rsidR="7E5EFAA3" w:rsidRPr="00FC5B6A">
        <w:rPr>
          <w:rFonts w:eastAsia="Arial"/>
          <w:color w:val="000000" w:themeColor="text1"/>
        </w:rPr>
        <w:t>que,</w:t>
      </w:r>
      <w:r w:rsidRPr="00FC5B6A">
        <w:rPr>
          <w:rFonts w:eastAsia="Arial"/>
          <w:color w:val="000000" w:themeColor="text1"/>
        </w:rPr>
        <w:t xml:space="preserve"> en la gestión adelantada por el </w:t>
      </w:r>
      <w:r w:rsidR="0A749C06" w:rsidRPr="00FC5B6A">
        <w:rPr>
          <w:rFonts w:eastAsia="Arial"/>
          <w:color w:val="000000" w:themeColor="text1"/>
        </w:rPr>
        <w:t>Ministerio de Ambiente y Desarrollo Sostenible</w:t>
      </w:r>
      <w:r w:rsidRPr="00FC5B6A">
        <w:rPr>
          <w:rFonts w:eastAsia="Arial"/>
          <w:color w:val="000000" w:themeColor="text1"/>
        </w:rPr>
        <w:t xml:space="preserve"> en las reservas en mención</w:t>
      </w:r>
      <w:r w:rsidR="0A749C06" w:rsidRPr="00FC5B6A">
        <w:rPr>
          <w:rFonts w:eastAsia="Arial"/>
          <w:color w:val="000000" w:themeColor="text1"/>
        </w:rPr>
        <w:t>,</w:t>
      </w:r>
      <w:r w:rsidRPr="00FC5B6A">
        <w:rPr>
          <w:rFonts w:eastAsia="Arial"/>
          <w:color w:val="000000" w:themeColor="text1"/>
        </w:rPr>
        <w:t xml:space="preserve"> no se han desconocido, por lo cual los procesos productivos agropecuarios, en un marco </w:t>
      </w:r>
      <w:r w:rsidR="1C29BF45" w:rsidRPr="00FC5B6A">
        <w:rPr>
          <w:rFonts w:eastAsia="Arial"/>
          <w:color w:val="000000" w:themeColor="text1"/>
        </w:rPr>
        <w:t xml:space="preserve">de producción </w:t>
      </w:r>
      <w:r w:rsidRPr="00FC5B6A">
        <w:rPr>
          <w:rFonts w:eastAsia="Arial"/>
          <w:color w:val="000000" w:themeColor="text1"/>
        </w:rPr>
        <w:t>sostenible, hacen parte de las actividades que se pueden realizar, incorporando el componente forestal como elemento integrador con la figura de reserva.</w:t>
      </w:r>
    </w:p>
    <w:p w14:paraId="15688110" w14:textId="1A37BE3C" w:rsidR="00FE3238" w:rsidRPr="000C325D" w:rsidRDefault="0983F672" w:rsidP="00562665">
      <w:pPr>
        <w:pStyle w:val="Ttulo2"/>
        <w:rPr>
          <w:b/>
          <w:bCs/>
        </w:rPr>
      </w:pPr>
      <w:bookmarkStart w:id="14" w:name="_Toc224921353"/>
      <w:r w:rsidRPr="000C325D">
        <w:rPr>
          <w:b/>
          <w:bCs/>
        </w:rPr>
        <w:t>Ley 1930 de 2018</w:t>
      </w:r>
      <w:bookmarkEnd w:id="14"/>
    </w:p>
    <w:p w14:paraId="4C7E0BF6" w14:textId="5E21D388" w:rsidR="0983F672" w:rsidRPr="00FC5B6A" w:rsidRDefault="0983F672" w:rsidP="0983F672">
      <w:pPr>
        <w:jc w:val="both"/>
      </w:pPr>
    </w:p>
    <w:p w14:paraId="3A7802CB" w14:textId="340177D1" w:rsidR="00884BA2" w:rsidRPr="00FC5B6A" w:rsidRDefault="00884BA2" w:rsidP="00DB512B">
      <w:pPr>
        <w:jc w:val="both"/>
      </w:pPr>
      <w:r w:rsidRPr="00FC5B6A">
        <w:t>En atención a los fundamentos jurídicos y técnicos que sustentan la Ley 1930 de 2018, resulta necesario precisar los elementos centrales que configuran el marco normativo de la gestión integral de los ecosistemas de páramo en Colombia.</w:t>
      </w:r>
    </w:p>
    <w:p w14:paraId="2910044F" w14:textId="77777777" w:rsidR="00884BA2" w:rsidRPr="00FC5B6A" w:rsidRDefault="00884BA2" w:rsidP="00DB512B">
      <w:pPr>
        <w:jc w:val="both"/>
      </w:pPr>
      <w:r w:rsidRPr="00FC5B6A">
        <w:t xml:space="preserve">La citada Ley parte del </w:t>
      </w:r>
      <w:r w:rsidRPr="00FC5B6A">
        <w:rPr>
          <w:b/>
          <w:bCs/>
        </w:rPr>
        <w:t>mandato constitucional consagrado en el artículo 79</w:t>
      </w:r>
      <w:r w:rsidRPr="00FC5B6A">
        <w:t xml:space="preserve">, que garantiza a todas las personas el derecho a gozar de un ambiente sano y dispone la obligación del Estado de proteger la diversidad e integridad del ambiente. En desarrollo de este mandato, </w:t>
      </w:r>
      <w:r w:rsidRPr="00FC5B6A">
        <w:rPr>
          <w:b/>
          <w:bCs/>
        </w:rPr>
        <w:t>la Ley 99 de 1993</w:t>
      </w:r>
      <w:r w:rsidRPr="00FC5B6A">
        <w:t xml:space="preserve"> asignó una protección especial a los ecosistemas de páramo, subpáramo, nacimientos de agua y zonas de recarga de acuíferos, reconociendo su carácter estratégico para la sostenibilidad nacional.</w:t>
      </w:r>
    </w:p>
    <w:p w14:paraId="2394264E" w14:textId="2E213362" w:rsidR="00884BA2" w:rsidRPr="00FC5B6A" w:rsidRDefault="6A4EFCAF" w:rsidP="3C9E7864">
      <w:pPr>
        <w:jc w:val="both"/>
      </w:pPr>
      <w:r w:rsidRPr="00FC5B6A">
        <w:t xml:space="preserve">Para esta tarea se identificó la necesidad de establecer un instrumento normativo específico que consolidara directrices para la delimitación, restauración, uso sostenible y ordenamiento de estos </w:t>
      </w:r>
      <w:r w:rsidRPr="00FC5B6A">
        <w:lastRenderedPageBreak/>
        <w:t>ecosistemas. En esa perspectiva, la Ley 1930 de 2018 reconoce que los páramos son ecosistemas de alta fragilidad, con baja resiliencia frente a perturbaciones antrópicas y naturales, cuya degradación puede ocasionar pérdidas irreversibles en su capacidad de provisión de servicios ecosistémicos.</w:t>
      </w:r>
    </w:p>
    <w:p w14:paraId="3FFC31FA" w14:textId="2F92CDF2" w:rsidR="00884BA2" w:rsidRPr="00FC5B6A" w:rsidRDefault="00884BA2" w:rsidP="00DB512B">
      <w:pPr>
        <w:jc w:val="both"/>
      </w:pPr>
      <w:r w:rsidRPr="00FC5B6A">
        <w:t>Entre los servicios estratégicos resaltados se encuentran la regulación hídrica, el almacenamiento de carbono, la conservación de biodiversidad y el aporte a la adaptación frente al cambio climático. De igual manera, los considerandos de la norma reconocen que en los territorios de páramo habitan comunidades campesinas y étnicas, cuyas prácticas socio-productivas y culturales han estado históricamente ligadas a estos ecosistemas. Por lo tanto, se establece la necesidad de un enfoque diferencial, garantizando su participación efectiva, la aplicación de consulta previa cuando corresponda y el diseño de mecanismos de transición productiva.</w:t>
      </w:r>
    </w:p>
    <w:p w14:paraId="71FAFCDD" w14:textId="2DF388AB" w:rsidR="00884BA2" w:rsidRPr="00FC5B6A" w:rsidRDefault="00884BA2" w:rsidP="00DB512B">
      <w:pPr>
        <w:jc w:val="both"/>
      </w:pPr>
      <w:r w:rsidRPr="00FC5B6A">
        <w:t xml:space="preserve">La Ley además resalta la importancia de la gobernanza ambiental bajo principios de integralidad, sostenibilidad, concurrencia y coordinación interinstitucional, así como la necesidad de fundamentar las decisiones en información científica y técnica derivada de estudios </w:t>
      </w:r>
      <w:proofErr w:type="spellStart"/>
      <w:r w:rsidRPr="00FC5B6A">
        <w:t>ecohidrológicos</w:t>
      </w:r>
      <w:proofErr w:type="spellEnd"/>
      <w:r w:rsidRPr="00FC5B6A">
        <w:t>, sociales y territoriales que permitan orientar procesos de delimitación y zonificación.</w:t>
      </w:r>
    </w:p>
    <w:p w14:paraId="1FB88305" w14:textId="423F8CC5" w:rsidR="00884BA2" w:rsidRPr="00FC5B6A" w:rsidRDefault="6A4EFCAF" w:rsidP="00DB512B">
      <w:pPr>
        <w:jc w:val="both"/>
      </w:pPr>
      <w:r w:rsidRPr="00FC5B6A">
        <w:t xml:space="preserve">Es pertinente mencionar que, a partir de lo establecido en el </w:t>
      </w:r>
      <w:r w:rsidR="5D225910" w:rsidRPr="00FC5B6A">
        <w:t>a</w:t>
      </w:r>
      <w:r w:rsidRPr="00FC5B6A">
        <w:t>rtículo 173 de la Ley 1753 de 2015 (Plan Nacional de Desarrollo 2014-2018) y el Artículo 4 de la Ley 1930 de 2018, el Ministerio de Ambiente y Desarrollo Sostenible tiene la responsabilidad de elaborar los actos administrativos para delimitar los páramos del país, con el fin de proteger estos ecosistemas frente al desarrollo de actividades agropecuarias, mineras o de hidrocarburos, y de potenciar su papel en la regulación del ciclo hidrológico. En cumplimiento de esta obligación, hasta la fecha la entidad ha adelantado la delimitación de 36 páramos a nivel nacional.</w:t>
      </w:r>
    </w:p>
    <w:p w14:paraId="50291CCD" w14:textId="589984CE" w:rsidR="00884BA2" w:rsidRPr="00FC5B6A" w:rsidRDefault="6A4EFCAF" w:rsidP="00DB512B">
      <w:pPr>
        <w:jc w:val="both"/>
      </w:pPr>
      <w:r w:rsidRPr="00FC5B6A">
        <w:t xml:space="preserve">De manera específica, el </w:t>
      </w:r>
      <w:r w:rsidR="5D225910" w:rsidRPr="00FC5B6A">
        <w:t>a</w:t>
      </w:r>
      <w:r w:rsidRPr="00FC5B6A">
        <w:t xml:space="preserve">rtículo 6 de la Ley 1930 de 2018 dispone que, una vez delimitados los páramos, las autoridades ambientales regionales deberán formular los respectivos planes de manejo, instrumentos que contemplan acciones de preservación, restauración, uso sostenible y generación de conocimiento. Estos planes constituyen el mecanismo operativo para implementar la gestión integral del ecosistema y deben ser articulados con las realidades socioeconómicas y culturales de los territorios. Como antecedente, se resalta </w:t>
      </w:r>
      <w:r w:rsidR="5D225910" w:rsidRPr="00FC5B6A">
        <w:t>que,</w:t>
      </w:r>
      <w:r w:rsidRPr="00FC5B6A">
        <w:t xml:space="preserve"> para el caso del páramo de Santurbán, el Ministerio de Ambiente expidió la Resolución 886 de 2018, que fijó lineamientos orientadores para su protección.</w:t>
      </w:r>
    </w:p>
    <w:p w14:paraId="5442B2B2" w14:textId="77777777" w:rsidR="00884BA2" w:rsidRPr="00FC5B6A" w:rsidRDefault="00884BA2" w:rsidP="00DB512B">
      <w:pPr>
        <w:jc w:val="both"/>
      </w:pPr>
      <w:r w:rsidRPr="00FC5B6A">
        <w:t>En concordancia, la Ley 1930 de 2018 materializa el contenido del artículo 79 constitucional, que dispone expresamente que “la ley garantizará la participación de la comunidad en las decisiones que puedan afectarlo”. En consecuencia, la norma establece que la participación debe garantizarse en la fase de gestión integral del páramo, posterior a su delimitación, como un mecanismo que fortalece la legitimidad de las decisiones, garantiza la inclusión de comunidades étnicas y campesinas, y asegura la sostenibilidad social y ambiental de las medidas adoptadas.</w:t>
      </w:r>
    </w:p>
    <w:p w14:paraId="60F91C38" w14:textId="4BD0F7A9" w:rsidR="00562665" w:rsidRPr="00FC5B6A" w:rsidRDefault="00884BA2" w:rsidP="1A24BF23">
      <w:pPr>
        <w:jc w:val="both"/>
      </w:pPr>
      <w:r w:rsidRPr="00FC5B6A">
        <w:t xml:space="preserve">De esta manera, los considerandos y mandatos de la Ley 1930 de 2018, complementados con lo dispuesto en la Ley 1753 de 2015, constituyen un marco jurídico y técnico robusto que orienta la actuación del Estado en materia de delimitación, ordenamiento y gestión integral de los páramos, asegurando un equilibrio entre la conservación de estos ecosistemas estratégicos, la garantía del </w:t>
      </w:r>
      <w:r w:rsidRPr="00FC5B6A">
        <w:lastRenderedPageBreak/>
        <w:t>derecho a un ambiente sano y la participación efectiva de las comunidades que históricamente los han habitado.</w:t>
      </w:r>
    </w:p>
    <w:p w14:paraId="185EBFC4" w14:textId="05EF892A" w:rsidR="00207462" w:rsidRPr="00FC5B6A" w:rsidRDefault="00207462" w:rsidP="00884BA2">
      <w:pPr>
        <w:jc w:val="both"/>
      </w:pPr>
    </w:p>
    <w:p w14:paraId="2C960478" w14:textId="2A32F55A" w:rsidR="00DB512B" w:rsidRPr="000C325D" w:rsidRDefault="00DB512B" w:rsidP="00DB512B">
      <w:pPr>
        <w:pStyle w:val="Ttulo2"/>
        <w:rPr>
          <w:b/>
          <w:bCs/>
        </w:rPr>
      </w:pPr>
      <w:bookmarkStart w:id="15" w:name="_Toc224921354"/>
      <w:r w:rsidRPr="000C325D">
        <w:rPr>
          <w:b/>
          <w:bCs/>
        </w:rPr>
        <w:t>Resolución 464 de 2017</w:t>
      </w:r>
      <w:bookmarkEnd w:id="15"/>
      <w:r w:rsidRPr="000C325D">
        <w:rPr>
          <w:b/>
          <w:bCs/>
        </w:rPr>
        <w:t xml:space="preserve"> </w:t>
      </w:r>
    </w:p>
    <w:p w14:paraId="7FFB3B48" w14:textId="77777777" w:rsidR="00E04592" w:rsidRPr="00FC5B6A" w:rsidRDefault="00E04592" w:rsidP="000C325D">
      <w:pPr>
        <w:spacing w:after="0" w:line="240" w:lineRule="auto"/>
      </w:pPr>
    </w:p>
    <w:p w14:paraId="4CAD49E1" w14:textId="19898920" w:rsidR="00DB512B" w:rsidRPr="00FC5B6A" w:rsidRDefault="000C325D" w:rsidP="000C325D">
      <w:pPr>
        <w:spacing w:after="0" w:line="240" w:lineRule="auto"/>
        <w:jc w:val="both"/>
      </w:pPr>
      <w:r>
        <w:t>L</w:t>
      </w:r>
      <w:r w:rsidR="00DB512B" w:rsidRPr="00FC5B6A">
        <w:t>a Constitución Política de Colombia, en su artículo 64, dispone que es deber del Estado promover el acceso progresivo a la propiedad de la tierra de los trabajadores agrarios, ya sea de forma individual o asociativa, así como asegurar servicios básicos rurales (educación, salud, vivienda, crédito, comercialización, asistencia técnica) con el objeto de mejorar los ingresos y la calidad de vida de la población campesina;</w:t>
      </w:r>
    </w:p>
    <w:p w14:paraId="59E2AE89" w14:textId="77777777" w:rsidR="000C325D" w:rsidRDefault="000C325D" w:rsidP="000C325D">
      <w:pPr>
        <w:spacing w:after="0" w:line="240" w:lineRule="auto"/>
        <w:jc w:val="both"/>
      </w:pPr>
    </w:p>
    <w:p w14:paraId="27EA0545" w14:textId="4C5E54A9" w:rsidR="00DB512B" w:rsidRPr="00FC5B6A" w:rsidRDefault="00DB512B" w:rsidP="000C325D">
      <w:pPr>
        <w:spacing w:after="0" w:line="240" w:lineRule="auto"/>
        <w:jc w:val="both"/>
      </w:pPr>
      <w:r w:rsidRPr="00FC5B6A">
        <w:t>La agricultura campesina, familiar y comunitaria constituye una componente esencial del desarrollo rural, de la seguridad alimentaria, y del bienestar social, razón por la cual requiere de políticas públicas que reconozcan, fortalezcan y protejan su rol en la sostenibilidad productiva, social y ambiental; que los productores campesinos afrontan barreras estructurales que limitan su capacidad productiva, entre ellas: acceso limitado y muchas veces inseguro a la tierra, falta de servicios públicos rurales adecuados, escasa asistencia técnica apropiada, dificultades de financiamiento, obstáculos en los circuitos de comercialización, y carencia de tecnologías adaptadas a los contextos locales.</w:t>
      </w:r>
    </w:p>
    <w:p w14:paraId="2B881CEC" w14:textId="77777777" w:rsidR="000C325D" w:rsidRDefault="000C325D" w:rsidP="000C325D">
      <w:pPr>
        <w:spacing w:after="0" w:line="240" w:lineRule="auto"/>
        <w:jc w:val="both"/>
      </w:pPr>
    </w:p>
    <w:p w14:paraId="39AE39AF" w14:textId="684EA11F" w:rsidR="00DB512B" w:rsidRPr="00FC5B6A" w:rsidRDefault="00DB512B" w:rsidP="000C325D">
      <w:pPr>
        <w:spacing w:after="0" w:line="240" w:lineRule="auto"/>
        <w:jc w:val="both"/>
      </w:pPr>
      <w:r w:rsidRPr="00FC5B6A">
        <w:t>En la formulación de políticas para la agricultura campesina es imprescindible reconocer y valorar los saberes tradicionales, los usos y costumbres, la diversidad cultural, los órdenes productivos locales, y las formas de organización colectiva de los territorios rurales; que la sostenibilidad ambiental debe integrarse como principio rector en la agricultura campesina, mediante la adopción de prácticas productivas que minimicen el impacto sobre los recursos naturales, protejan la biodiversidad y los ecosistemas, y garanticen la renovación de los elementos ecosistémicos para asegurar la continuidad de los servicios ambientales.</w:t>
      </w:r>
    </w:p>
    <w:p w14:paraId="2E97DB66" w14:textId="77777777" w:rsidR="000C325D" w:rsidRDefault="000C325D" w:rsidP="000C325D">
      <w:pPr>
        <w:spacing w:after="0" w:line="240" w:lineRule="auto"/>
        <w:jc w:val="both"/>
      </w:pPr>
    </w:p>
    <w:p w14:paraId="467866D5" w14:textId="3838118C" w:rsidR="00DB512B" w:rsidRPr="00FC5B6A" w:rsidRDefault="000C325D" w:rsidP="000C325D">
      <w:pPr>
        <w:spacing w:after="0" w:line="240" w:lineRule="auto"/>
        <w:jc w:val="both"/>
      </w:pPr>
      <w:r>
        <w:t>E</w:t>
      </w:r>
      <w:r w:rsidR="00DB512B" w:rsidRPr="00FC5B6A">
        <w:t>stos lineamientos estratégicos buscan articular las acciones del Estado y los demás actores del sector rural para superar los obstáculos estructurales, promover una agricultura campesina digna, productiva, resiliente, ecológica y equitativa.</w:t>
      </w:r>
    </w:p>
    <w:p w14:paraId="3957A7CD" w14:textId="6A53D980" w:rsidR="1A24BF23" w:rsidRPr="00FC5B6A" w:rsidRDefault="1A24BF23" w:rsidP="1A24BF23">
      <w:pPr>
        <w:jc w:val="both"/>
      </w:pPr>
    </w:p>
    <w:p w14:paraId="4CA1FE43" w14:textId="7B9A34CB" w:rsidR="24222460" w:rsidRPr="000C325D" w:rsidRDefault="24222460" w:rsidP="1A24BF23">
      <w:pPr>
        <w:pStyle w:val="Ttulo2"/>
        <w:rPr>
          <w:b/>
          <w:bCs/>
        </w:rPr>
      </w:pPr>
      <w:bookmarkStart w:id="16" w:name="_Toc224921355"/>
      <w:r w:rsidRPr="000C325D">
        <w:rPr>
          <w:b/>
          <w:bCs/>
        </w:rPr>
        <w:t>Acuerdo de Escazú</w:t>
      </w:r>
      <w:bookmarkEnd w:id="16"/>
    </w:p>
    <w:p w14:paraId="0140B39D" w14:textId="6F23D3B1" w:rsidR="1A24BF23" w:rsidRPr="00FC5B6A" w:rsidRDefault="1A24BF23" w:rsidP="1A24BF23">
      <w:pPr>
        <w:jc w:val="both"/>
      </w:pPr>
    </w:p>
    <w:p w14:paraId="13F92600" w14:textId="27B82A04" w:rsidR="24222460" w:rsidRPr="000C325D" w:rsidRDefault="24222460" w:rsidP="000C325D">
      <w:pPr>
        <w:spacing w:after="0" w:line="240" w:lineRule="auto"/>
        <w:jc w:val="both"/>
      </w:pPr>
      <w:r w:rsidRPr="000C325D">
        <w:rPr>
          <w:rFonts w:ascii="Calibri" w:eastAsia="Calibri" w:hAnsi="Calibri" w:cs="Calibri"/>
        </w:rPr>
        <w:t>El Acuerdo de Escazú, aprobado en Colombia mediante la Ley 2273 de 2022, constituye el primer tratado regional de América Latina y el Caribe sobre democracia ambiental. Sus ejes principales son el acceso a la información ambiental, la participación pública en la toma de decisiones ambientales y el acceso a la justicia en asuntos ambientales (arts. 5, 6, 7 y 8 del Acuerdo). En la normativa nacional, este tratado refuerza el mandato constitucional de los artículos 79 y 80 de la Constitución Política, así como las competencias del Ministerio de Ambiente y Desarrollo Sostenible establecidas en la Ley 99 de 1993, art. 5 numeral 18, para reservar, alinderar y sustraer áreas ambientales estratégicas.</w:t>
      </w:r>
    </w:p>
    <w:p w14:paraId="7B6F322A" w14:textId="11007F18" w:rsidR="24222460" w:rsidRDefault="24222460" w:rsidP="000C325D">
      <w:pPr>
        <w:spacing w:after="0" w:line="240" w:lineRule="auto"/>
        <w:jc w:val="both"/>
        <w:rPr>
          <w:rFonts w:ascii="Calibri" w:eastAsia="Calibri" w:hAnsi="Calibri" w:cs="Calibri"/>
        </w:rPr>
      </w:pPr>
      <w:r w:rsidRPr="00FC5B6A">
        <w:rPr>
          <w:rFonts w:ascii="Calibri" w:eastAsia="Calibri" w:hAnsi="Calibri" w:cs="Calibri"/>
        </w:rPr>
        <w:t xml:space="preserve">En materia de </w:t>
      </w:r>
      <w:r w:rsidRPr="00FC5B6A">
        <w:rPr>
          <w:rFonts w:ascii="Calibri" w:eastAsia="Calibri" w:hAnsi="Calibri" w:cs="Calibri"/>
          <w:b/>
          <w:bCs/>
        </w:rPr>
        <w:t>participación ambiental</w:t>
      </w:r>
      <w:r w:rsidRPr="00FC5B6A">
        <w:rPr>
          <w:rFonts w:ascii="Calibri" w:eastAsia="Calibri" w:hAnsi="Calibri" w:cs="Calibri"/>
        </w:rPr>
        <w:t xml:space="preserve">, Escazú obliga al Estado colombiano a establecer mecanismos efectivos, oportunos y culturalmente adecuados para la incidencia ciudadana. Esto se articula con la </w:t>
      </w:r>
      <w:r w:rsidRPr="00FC5B6A">
        <w:rPr>
          <w:rFonts w:ascii="Calibri" w:eastAsia="Calibri" w:hAnsi="Calibri" w:cs="Calibri"/>
        </w:rPr>
        <w:lastRenderedPageBreak/>
        <w:t xml:space="preserve">normativa interna que exige concertación en el ordenamiento y zonificación ambiental, como lo dispuesto en la </w:t>
      </w:r>
      <w:r w:rsidRPr="00FC5B6A">
        <w:rPr>
          <w:rFonts w:ascii="Calibri" w:eastAsia="Calibri" w:hAnsi="Calibri" w:cs="Calibri"/>
          <w:b/>
          <w:bCs/>
        </w:rPr>
        <w:t>Ley 1450 de 2011 (art. 204 parágrafo 3, PND 2010–2014)</w:t>
      </w:r>
      <w:r w:rsidRPr="00FC5B6A">
        <w:rPr>
          <w:rFonts w:ascii="Calibri" w:eastAsia="Calibri" w:hAnsi="Calibri" w:cs="Calibri"/>
        </w:rPr>
        <w:t xml:space="preserve"> y en la </w:t>
      </w:r>
      <w:r w:rsidRPr="00FC5B6A">
        <w:rPr>
          <w:rFonts w:ascii="Calibri" w:eastAsia="Calibri" w:hAnsi="Calibri" w:cs="Calibri"/>
          <w:b/>
          <w:bCs/>
        </w:rPr>
        <w:t>Ley 2294 de 2023 (PND 2022–2026, art. 3, numeral 1.1.10)</w:t>
      </w:r>
      <w:r w:rsidRPr="00FC5B6A">
        <w:rPr>
          <w:rFonts w:ascii="Calibri" w:eastAsia="Calibri" w:hAnsi="Calibri" w:cs="Calibri"/>
        </w:rPr>
        <w:t xml:space="preserve">, que reconoce la necesidad de integrar comunidades campesinas en el ordenamiento del territorio alrededor del agua. En el caso de la </w:t>
      </w:r>
      <w:r w:rsidRPr="00FC5B6A">
        <w:rPr>
          <w:rFonts w:ascii="Calibri" w:eastAsia="Calibri" w:hAnsi="Calibri" w:cs="Calibri"/>
          <w:b/>
          <w:bCs/>
        </w:rPr>
        <w:t>Reserva Forestal del Cocuy (Ley 2 de 1959)</w:t>
      </w:r>
      <w:r w:rsidRPr="00FC5B6A">
        <w:rPr>
          <w:rFonts w:ascii="Calibri" w:eastAsia="Calibri" w:hAnsi="Calibri" w:cs="Calibri"/>
        </w:rPr>
        <w:t>, estos mandatos refuerzan que la conservación debe ir acompañada de procesos participativos con la población local.</w:t>
      </w:r>
    </w:p>
    <w:p w14:paraId="2FF28A70" w14:textId="77777777" w:rsidR="000C325D" w:rsidRPr="00FC5B6A" w:rsidRDefault="000C325D" w:rsidP="000C325D">
      <w:pPr>
        <w:spacing w:after="0" w:line="240" w:lineRule="auto"/>
        <w:jc w:val="both"/>
      </w:pPr>
    </w:p>
    <w:p w14:paraId="02EDBACC" w14:textId="1CFDC878" w:rsidR="24222460" w:rsidRDefault="24222460" w:rsidP="000C325D">
      <w:pPr>
        <w:spacing w:after="0" w:line="240" w:lineRule="auto"/>
        <w:jc w:val="both"/>
        <w:rPr>
          <w:rFonts w:ascii="Calibri" w:eastAsia="Calibri" w:hAnsi="Calibri" w:cs="Calibri"/>
        </w:rPr>
      </w:pPr>
      <w:r w:rsidRPr="00FC5B6A">
        <w:rPr>
          <w:rFonts w:ascii="Calibri" w:eastAsia="Calibri" w:hAnsi="Calibri" w:cs="Calibri"/>
        </w:rPr>
        <w:t xml:space="preserve">En cuanto a la </w:t>
      </w:r>
      <w:r w:rsidRPr="00FC5B6A">
        <w:rPr>
          <w:rFonts w:ascii="Calibri" w:eastAsia="Calibri" w:hAnsi="Calibri" w:cs="Calibri"/>
          <w:b/>
          <w:bCs/>
        </w:rPr>
        <w:t>protección a defensores ambientales</w:t>
      </w:r>
      <w:r w:rsidRPr="00FC5B6A">
        <w:rPr>
          <w:rFonts w:ascii="Calibri" w:eastAsia="Calibri" w:hAnsi="Calibri" w:cs="Calibri"/>
        </w:rPr>
        <w:t xml:space="preserve">, Escazú (art. 9) compromete al Estado a generar condiciones seguras para comunidades rurales y líderes sociales. Esto se conecta con el reconocimiento del </w:t>
      </w:r>
      <w:r w:rsidRPr="00FC5B6A">
        <w:rPr>
          <w:rFonts w:ascii="Calibri" w:eastAsia="Calibri" w:hAnsi="Calibri" w:cs="Calibri"/>
          <w:b/>
          <w:bCs/>
        </w:rPr>
        <w:t>campesinado como sujeto de especial protección constitucional</w:t>
      </w:r>
      <w:r w:rsidRPr="00FC5B6A">
        <w:rPr>
          <w:rFonts w:ascii="Calibri" w:eastAsia="Calibri" w:hAnsi="Calibri" w:cs="Calibri"/>
        </w:rPr>
        <w:t xml:space="preserve"> mediante el </w:t>
      </w:r>
      <w:r w:rsidRPr="00FC5B6A">
        <w:rPr>
          <w:rFonts w:ascii="Calibri" w:eastAsia="Calibri" w:hAnsi="Calibri" w:cs="Calibri"/>
          <w:b/>
          <w:bCs/>
        </w:rPr>
        <w:t>Acto Legislativo 01 de 2023 (art. 64 C.P.)</w:t>
      </w:r>
      <w:r w:rsidRPr="00FC5B6A">
        <w:rPr>
          <w:rFonts w:ascii="Calibri" w:eastAsia="Calibri" w:hAnsi="Calibri" w:cs="Calibri"/>
        </w:rPr>
        <w:t xml:space="preserve"> y con la protección reforzada a la producción de alimentos consagrada en el </w:t>
      </w:r>
      <w:r w:rsidRPr="00FC5B6A">
        <w:rPr>
          <w:rFonts w:ascii="Calibri" w:eastAsia="Calibri" w:hAnsi="Calibri" w:cs="Calibri"/>
          <w:b/>
          <w:bCs/>
        </w:rPr>
        <w:t>Acto Legislativo 01 de 2025 (art. 65 C.P.)</w:t>
      </w:r>
      <w:r w:rsidRPr="00FC5B6A">
        <w:rPr>
          <w:rFonts w:ascii="Calibri" w:eastAsia="Calibri" w:hAnsi="Calibri" w:cs="Calibri"/>
        </w:rPr>
        <w:t xml:space="preserve">. Asimismo, se armoniza con el </w:t>
      </w:r>
      <w:r w:rsidRPr="00FC5B6A">
        <w:rPr>
          <w:rFonts w:ascii="Calibri" w:eastAsia="Calibri" w:hAnsi="Calibri" w:cs="Calibri"/>
          <w:b/>
          <w:bCs/>
        </w:rPr>
        <w:t>artículo 58 de la Constitución</w:t>
      </w:r>
      <w:r w:rsidRPr="00FC5B6A">
        <w:rPr>
          <w:rFonts w:ascii="Calibri" w:eastAsia="Calibri" w:hAnsi="Calibri" w:cs="Calibri"/>
        </w:rPr>
        <w:t>, que consagra la función ecológica y social de la propiedad, lo que implica que el uso del suelo debe equilibrar conservación ambiental y bienestar campesino.</w:t>
      </w:r>
    </w:p>
    <w:p w14:paraId="05416C3B" w14:textId="77777777" w:rsidR="000C325D" w:rsidRPr="00FC5B6A" w:rsidRDefault="000C325D" w:rsidP="000C325D">
      <w:pPr>
        <w:spacing w:after="0" w:line="240" w:lineRule="auto"/>
        <w:jc w:val="both"/>
      </w:pPr>
    </w:p>
    <w:p w14:paraId="2E09710B" w14:textId="58D8394D" w:rsidR="24222460" w:rsidRPr="00FC5B6A" w:rsidRDefault="24222460" w:rsidP="000C325D">
      <w:pPr>
        <w:spacing w:after="0" w:line="240" w:lineRule="auto"/>
        <w:jc w:val="both"/>
      </w:pPr>
      <w:r w:rsidRPr="00FC5B6A">
        <w:rPr>
          <w:rFonts w:ascii="Calibri" w:eastAsia="Calibri" w:hAnsi="Calibri" w:cs="Calibri"/>
        </w:rPr>
        <w:t xml:space="preserve">Finalmente, el alcance normativo del </w:t>
      </w:r>
      <w:r w:rsidRPr="00FC5B6A">
        <w:rPr>
          <w:rFonts w:ascii="Calibri" w:eastAsia="Calibri" w:hAnsi="Calibri" w:cs="Calibri"/>
          <w:b/>
          <w:bCs/>
        </w:rPr>
        <w:t>Acuerdo de Escazú</w:t>
      </w:r>
      <w:r w:rsidRPr="00FC5B6A">
        <w:rPr>
          <w:rFonts w:ascii="Calibri" w:eastAsia="Calibri" w:hAnsi="Calibri" w:cs="Calibri"/>
        </w:rPr>
        <w:t xml:space="preserve"> en Colombia fortalece el marco interno de </w:t>
      </w:r>
      <w:r w:rsidRPr="00FC5B6A">
        <w:rPr>
          <w:rFonts w:ascii="Calibri" w:eastAsia="Calibri" w:hAnsi="Calibri" w:cs="Calibri"/>
          <w:b/>
          <w:bCs/>
        </w:rPr>
        <w:t>gobernanza ambiental participativa</w:t>
      </w:r>
      <w:r w:rsidRPr="00FC5B6A">
        <w:rPr>
          <w:rFonts w:ascii="Calibri" w:eastAsia="Calibri" w:hAnsi="Calibri" w:cs="Calibri"/>
        </w:rPr>
        <w:t xml:space="preserve">. Su implementación implica articularse con la </w:t>
      </w:r>
      <w:r w:rsidRPr="00FC5B6A">
        <w:rPr>
          <w:rFonts w:ascii="Calibri" w:eastAsia="Calibri" w:hAnsi="Calibri" w:cs="Calibri"/>
          <w:b/>
          <w:bCs/>
        </w:rPr>
        <w:t>Ley 1930 de 2018</w:t>
      </w:r>
      <w:r w:rsidRPr="00FC5B6A">
        <w:rPr>
          <w:rFonts w:ascii="Calibri" w:eastAsia="Calibri" w:hAnsi="Calibri" w:cs="Calibri"/>
        </w:rPr>
        <w:t xml:space="preserve">, que exige planes de manejo ambiental posteriores a la delimitación de páramos; con la </w:t>
      </w:r>
      <w:r w:rsidRPr="00FC5B6A">
        <w:rPr>
          <w:rFonts w:ascii="Calibri" w:eastAsia="Calibri" w:hAnsi="Calibri" w:cs="Calibri"/>
          <w:b/>
          <w:bCs/>
        </w:rPr>
        <w:t>Ley 2294 de 2023</w:t>
      </w:r>
      <w:r w:rsidRPr="00FC5B6A">
        <w:rPr>
          <w:rFonts w:ascii="Calibri" w:eastAsia="Calibri" w:hAnsi="Calibri" w:cs="Calibri"/>
        </w:rPr>
        <w:t xml:space="preserve">, que impulsa el ordenamiento alrededor del agua y la permanencia campesina en reservas forestales; y con el </w:t>
      </w:r>
      <w:r w:rsidRPr="00FC5B6A">
        <w:rPr>
          <w:rFonts w:ascii="Calibri" w:eastAsia="Calibri" w:hAnsi="Calibri" w:cs="Calibri"/>
          <w:b/>
          <w:bCs/>
        </w:rPr>
        <w:t>Sistema de Información Ambiental de Colombia (SIAC, Decreto 1076 de 2015)</w:t>
      </w:r>
      <w:r w:rsidRPr="00FC5B6A">
        <w:rPr>
          <w:rFonts w:ascii="Calibri" w:eastAsia="Calibri" w:hAnsi="Calibri" w:cs="Calibri"/>
        </w:rPr>
        <w:t>, que garantiza acceso público a información socioambiental. En conjunto, estas normas consolidan a Escazú como un instrumento que asegura justicia ambiental, transparencia y participación incidente de comunidades campesinas en la gestión de ecosistemas estratégicos.</w:t>
      </w:r>
    </w:p>
    <w:p w14:paraId="308A829C" w14:textId="46277483" w:rsidR="1A24BF23" w:rsidRPr="00FC5B6A" w:rsidRDefault="1A24BF23" w:rsidP="1A24BF23">
      <w:pPr>
        <w:jc w:val="both"/>
      </w:pPr>
    </w:p>
    <w:p w14:paraId="08FF2514" w14:textId="696F8E10" w:rsidR="00E04592" w:rsidRPr="000C325D" w:rsidRDefault="22DF84DA" w:rsidP="1A24BF23">
      <w:pPr>
        <w:pStyle w:val="Ttulo2"/>
        <w:rPr>
          <w:rFonts w:asciiTheme="minorHAnsi" w:hAnsiTheme="minorHAnsi" w:cstheme="minorBidi"/>
          <w:b/>
          <w:bCs/>
        </w:rPr>
      </w:pPr>
      <w:bookmarkStart w:id="17" w:name="_Toc224921356"/>
      <w:bookmarkStart w:id="18" w:name="_Toc186104578"/>
      <w:bookmarkEnd w:id="4"/>
      <w:bookmarkEnd w:id="5"/>
      <w:bookmarkEnd w:id="6"/>
      <w:r w:rsidRPr="000C325D">
        <w:rPr>
          <w:b/>
          <w:bCs/>
        </w:rPr>
        <w:t>Contexto socio territorial</w:t>
      </w:r>
      <w:bookmarkEnd w:id="17"/>
      <w:r w:rsidRPr="000C325D">
        <w:rPr>
          <w:b/>
          <w:bCs/>
        </w:rPr>
        <w:t xml:space="preserve"> </w:t>
      </w:r>
    </w:p>
    <w:p w14:paraId="14181DB6" w14:textId="77777777" w:rsidR="000C325D" w:rsidRDefault="000C325D" w:rsidP="000C325D">
      <w:pPr>
        <w:spacing w:after="0" w:line="240" w:lineRule="auto"/>
        <w:jc w:val="both"/>
      </w:pPr>
    </w:p>
    <w:p w14:paraId="76E12926" w14:textId="7235C6CA" w:rsidR="22DF84DA" w:rsidRDefault="22DF84DA" w:rsidP="000C325D">
      <w:pPr>
        <w:spacing w:after="0" w:line="240" w:lineRule="auto"/>
        <w:jc w:val="both"/>
        <w:rPr>
          <w:rFonts w:ascii="Calibri" w:eastAsia="Calibri" w:hAnsi="Calibri" w:cs="Calibri"/>
        </w:rPr>
      </w:pPr>
      <w:r w:rsidRPr="00FC5B6A">
        <w:t xml:space="preserve">La </w:t>
      </w:r>
      <w:r w:rsidR="009F5276" w:rsidRPr="00FC5B6A">
        <w:t>Reserva</w:t>
      </w:r>
      <w:r w:rsidRPr="00FC5B6A">
        <w:t xml:space="preserve"> Forestal El Cocuy, se ubica en los departamentos de Santander</w:t>
      </w:r>
      <w:r w:rsidRPr="00FC5B6A">
        <w:footnoteReference w:id="3"/>
      </w:r>
      <w:r w:rsidRPr="00FC5B6A">
        <w:t>, Norte de Santander</w:t>
      </w:r>
      <w:r w:rsidRPr="00FC5B6A">
        <w:footnoteReference w:id="4"/>
      </w:r>
      <w:r w:rsidRPr="00FC5B6A">
        <w:t>, Arauca</w:t>
      </w:r>
      <w:r w:rsidRPr="00FC5B6A">
        <w:footnoteReference w:id="5"/>
      </w:r>
      <w:r w:rsidRPr="00FC5B6A">
        <w:t>, Casanare</w:t>
      </w:r>
      <w:r w:rsidRPr="00FC5B6A">
        <w:footnoteReference w:id="6"/>
      </w:r>
      <w:r w:rsidRPr="00FC5B6A">
        <w:t xml:space="preserve"> </w:t>
      </w:r>
      <w:proofErr w:type="gramStart"/>
      <w:r w:rsidRPr="00FC5B6A">
        <w:t>y  Boyacá</w:t>
      </w:r>
      <w:proofErr w:type="gramEnd"/>
      <w:r w:rsidRPr="00FC5B6A">
        <w:footnoteReference w:id="7"/>
      </w:r>
      <w:r w:rsidRPr="00FC5B6A">
        <w:t xml:space="preserve">. Según la Resolución 1275 de 2014 la Reserva Forestal el Cocuy tenía un área aproximada de 715.800 hectáreas; en la actualidad se cuenta con área total de </w:t>
      </w:r>
      <w:r w:rsidRPr="00FC5B6A">
        <w:rPr>
          <w:rFonts w:ascii="Calibri" w:eastAsia="Calibri" w:hAnsi="Calibri" w:cs="Calibri"/>
        </w:rPr>
        <w:t xml:space="preserve">713.774,98 hectáreas de las cuales se encuentran distribuidas de acuerdo con la zonificación de la siguiente manera: </w:t>
      </w:r>
    </w:p>
    <w:p w14:paraId="1D86E372" w14:textId="77777777" w:rsidR="000C325D" w:rsidRPr="00FC5B6A" w:rsidRDefault="000C325D" w:rsidP="000C325D">
      <w:pPr>
        <w:spacing w:after="0" w:line="240" w:lineRule="auto"/>
        <w:jc w:val="both"/>
        <w:rPr>
          <w:rFonts w:ascii="Calibri" w:eastAsia="Calibri" w:hAnsi="Calibri" w:cs="Calibri"/>
        </w:rPr>
      </w:pPr>
    </w:p>
    <w:p w14:paraId="7B58F608" w14:textId="13EDC512" w:rsidR="22DF84DA" w:rsidRPr="00FC5B6A" w:rsidRDefault="22DF84DA" w:rsidP="1A24BF23">
      <w:pPr>
        <w:pStyle w:val="FIGYTAB"/>
        <w:rPr>
          <w:rFonts w:ascii="Calibri" w:hAnsi="Calibri" w:cs="Calibri"/>
        </w:rPr>
      </w:pPr>
      <w:r w:rsidRPr="00FC5B6A">
        <w:t xml:space="preserve">Tabla </w:t>
      </w:r>
      <w:r w:rsidR="00E74796" w:rsidRPr="00FC5B6A">
        <w:rPr>
          <w:rFonts w:cstheme="minorHAnsi"/>
          <w:bCs w:val="0"/>
          <w:i w:val="0"/>
          <w:color w:val="auto"/>
          <w:sz w:val="20"/>
          <w:szCs w:val="16"/>
        </w:rPr>
        <w:fldChar w:fldCharType="begin"/>
      </w:r>
      <w:r w:rsidR="00E74796" w:rsidRPr="00FC5B6A">
        <w:rPr>
          <w:rFonts w:cstheme="minorHAnsi"/>
          <w:i w:val="0"/>
          <w:color w:val="auto"/>
          <w:sz w:val="20"/>
          <w:szCs w:val="16"/>
        </w:rPr>
        <w:instrText xml:space="preserve"> SEQ Tabla \* ARABIC </w:instrText>
      </w:r>
      <w:r w:rsidR="00E74796" w:rsidRPr="00FC5B6A">
        <w:rPr>
          <w:rFonts w:cstheme="minorHAnsi"/>
          <w:bCs w:val="0"/>
          <w:i w:val="0"/>
          <w:color w:val="auto"/>
          <w:sz w:val="20"/>
          <w:szCs w:val="16"/>
        </w:rPr>
        <w:fldChar w:fldCharType="separate"/>
      </w:r>
      <w:r w:rsidR="00E74796">
        <w:rPr>
          <w:rFonts w:cstheme="minorHAnsi"/>
          <w:i w:val="0"/>
          <w:noProof/>
          <w:color w:val="auto"/>
          <w:sz w:val="20"/>
          <w:szCs w:val="16"/>
        </w:rPr>
        <w:t>1</w:t>
      </w:r>
      <w:r w:rsidR="00E74796" w:rsidRPr="00FC5B6A">
        <w:rPr>
          <w:rFonts w:cstheme="minorHAnsi"/>
          <w:bCs w:val="0"/>
          <w:i w:val="0"/>
          <w:color w:val="auto"/>
          <w:sz w:val="20"/>
          <w:szCs w:val="16"/>
        </w:rPr>
        <w:fldChar w:fldCharType="end"/>
      </w:r>
      <w:r w:rsidRPr="00FC5B6A">
        <w:t>. Área de la Reserva Forestal El Cocuy - Zonificación</w:t>
      </w:r>
    </w:p>
    <w:tbl>
      <w:tblPr>
        <w:tblStyle w:val="Tablaconcuadrcula"/>
        <w:tblW w:w="8836" w:type="dxa"/>
        <w:tblLayout w:type="fixed"/>
        <w:tblLook w:val="06A0" w:firstRow="1" w:lastRow="0" w:firstColumn="1" w:lastColumn="0" w:noHBand="1" w:noVBand="1"/>
      </w:tblPr>
      <w:tblGrid>
        <w:gridCol w:w="6325"/>
        <w:gridCol w:w="2511"/>
      </w:tblGrid>
      <w:tr w:rsidR="22DF84DA" w:rsidRPr="00FC5B6A" w14:paraId="20FB51E3" w14:textId="77777777" w:rsidTr="0983F672">
        <w:trPr>
          <w:trHeight w:val="300"/>
        </w:trPr>
        <w:tc>
          <w:tcPr>
            <w:tcW w:w="6325" w:type="dxa"/>
          </w:tcPr>
          <w:p w14:paraId="6D3132F7" w14:textId="32FFB786" w:rsidR="22DF84DA" w:rsidRPr="00FC5B6A" w:rsidRDefault="22DF84DA" w:rsidP="1A24BF23">
            <w:pPr>
              <w:pStyle w:val="FIGYTAB"/>
              <w:rPr>
                <w:rFonts w:ascii="Calibri" w:hAnsi="Calibri" w:cs="Calibri"/>
                <w:b/>
              </w:rPr>
            </w:pPr>
            <w:r w:rsidRPr="00FC5B6A">
              <w:t>Tipo Zonificación</w:t>
            </w:r>
          </w:p>
        </w:tc>
        <w:tc>
          <w:tcPr>
            <w:tcW w:w="2511" w:type="dxa"/>
          </w:tcPr>
          <w:p w14:paraId="3DDB57D0" w14:textId="4797B1B4" w:rsidR="22DF84DA" w:rsidRPr="00FC5B6A" w:rsidRDefault="22DF84DA" w:rsidP="1A24BF23">
            <w:pPr>
              <w:pStyle w:val="FIGYTAB"/>
              <w:rPr>
                <w:rFonts w:ascii="Calibri" w:hAnsi="Calibri" w:cs="Calibri"/>
                <w:b/>
              </w:rPr>
            </w:pPr>
            <w:r w:rsidRPr="00FC5B6A">
              <w:t>Área en hectáreas</w:t>
            </w:r>
          </w:p>
        </w:tc>
      </w:tr>
      <w:tr w:rsidR="22DF84DA" w:rsidRPr="00FC5B6A" w14:paraId="6224FCB5" w14:textId="77777777" w:rsidTr="0983F672">
        <w:trPr>
          <w:trHeight w:val="300"/>
        </w:trPr>
        <w:tc>
          <w:tcPr>
            <w:tcW w:w="6325" w:type="dxa"/>
          </w:tcPr>
          <w:p w14:paraId="64CD94A2" w14:textId="451C0550" w:rsidR="22DF84DA" w:rsidRPr="00FC5B6A" w:rsidRDefault="22DF84DA" w:rsidP="22DF84DA">
            <w:pPr>
              <w:rPr>
                <w:rFonts w:ascii="Calibri" w:eastAsia="Calibri" w:hAnsi="Calibri" w:cs="Calibri"/>
              </w:rPr>
            </w:pPr>
            <w:r w:rsidRPr="00FC5B6A">
              <w:rPr>
                <w:rFonts w:ascii="Calibri" w:eastAsia="Calibri" w:hAnsi="Calibri" w:cs="Calibri"/>
              </w:rPr>
              <w:t>Tipo A</w:t>
            </w:r>
          </w:p>
        </w:tc>
        <w:tc>
          <w:tcPr>
            <w:tcW w:w="2511" w:type="dxa"/>
          </w:tcPr>
          <w:p w14:paraId="0821FD63" w14:textId="025BAACF" w:rsidR="22DF84DA" w:rsidRPr="00FC5B6A" w:rsidRDefault="22DF84DA" w:rsidP="1A24BF23">
            <w:pPr>
              <w:jc w:val="right"/>
            </w:pPr>
            <w:r w:rsidRPr="00FC5B6A">
              <w:rPr>
                <w:rFonts w:ascii="Calibri" w:eastAsia="Calibri" w:hAnsi="Calibri" w:cs="Calibri"/>
              </w:rPr>
              <w:t xml:space="preserve">                 187.436,67</w:t>
            </w:r>
          </w:p>
        </w:tc>
      </w:tr>
      <w:tr w:rsidR="22DF84DA" w:rsidRPr="00FC5B6A" w14:paraId="51EAF1D4" w14:textId="77777777" w:rsidTr="0983F672">
        <w:trPr>
          <w:trHeight w:val="300"/>
        </w:trPr>
        <w:tc>
          <w:tcPr>
            <w:tcW w:w="6325" w:type="dxa"/>
          </w:tcPr>
          <w:p w14:paraId="42F5461F" w14:textId="7EE49C7B" w:rsidR="22DF84DA" w:rsidRPr="00FC5B6A" w:rsidRDefault="22DF84DA" w:rsidP="22DF84DA">
            <w:pPr>
              <w:rPr>
                <w:rFonts w:ascii="Calibri" w:eastAsia="Calibri" w:hAnsi="Calibri" w:cs="Calibri"/>
              </w:rPr>
            </w:pPr>
            <w:r w:rsidRPr="00FC5B6A">
              <w:rPr>
                <w:rFonts w:ascii="Calibri" w:eastAsia="Calibri" w:hAnsi="Calibri" w:cs="Calibri"/>
              </w:rPr>
              <w:t>Tipo B</w:t>
            </w:r>
          </w:p>
        </w:tc>
        <w:tc>
          <w:tcPr>
            <w:tcW w:w="2511" w:type="dxa"/>
          </w:tcPr>
          <w:p w14:paraId="052B4D35" w14:textId="6EC29BEE" w:rsidR="22DF84DA" w:rsidRPr="00FC5B6A" w:rsidRDefault="22DF84DA" w:rsidP="1A24BF23">
            <w:pPr>
              <w:jc w:val="right"/>
            </w:pPr>
            <w:r w:rsidRPr="00FC5B6A">
              <w:rPr>
                <w:rFonts w:ascii="Calibri" w:eastAsia="Calibri" w:hAnsi="Calibri" w:cs="Calibri"/>
              </w:rPr>
              <w:t xml:space="preserve">                   21.283,05</w:t>
            </w:r>
          </w:p>
        </w:tc>
      </w:tr>
      <w:tr w:rsidR="22DF84DA" w:rsidRPr="00FC5B6A" w14:paraId="79BA485C" w14:textId="77777777" w:rsidTr="0983F672">
        <w:trPr>
          <w:trHeight w:val="300"/>
        </w:trPr>
        <w:tc>
          <w:tcPr>
            <w:tcW w:w="6325" w:type="dxa"/>
          </w:tcPr>
          <w:p w14:paraId="316FC422" w14:textId="0259590B" w:rsidR="22DF84DA" w:rsidRPr="00FC5B6A" w:rsidRDefault="22DF84DA" w:rsidP="22DF84DA">
            <w:pPr>
              <w:rPr>
                <w:rFonts w:ascii="Calibri" w:eastAsia="Calibri" w:hAnsi="Calibri" w:cs="Calibri"/>
              </w:rPr>
            </w:pPr>
            <w:r w:rsidRPr="00FC5B6A">
              <w:rPr>
                <w:rFonts w:ascii="Calibri" w:eastAsia="Calibri" w:hAnsi="Calibri" w:cs="Calibri"/>
              </w:rPr>
              <w:t>Tipo C</w:t>
            </w:r>
          </w:p>
        </w:tc>
        <w:tc>
          <w:tcPr>
            <w:tcW w:w="2511" w:type="dxa"/>
          </w:tcPr>
          <w:p w14:paraId="37E97469" w14:textId="73B75D05" w:rsidR="22DF84DA" w:rsidRPr="00FC5B6A" w:rsidRDefault="22DF84DA" w:rsidP="1A24BF23">
            <w:pPr>
              <w:jc w:val="right"/>
            </w:pPr>
            <w:r w:rsidRPr="00FC5B6A">
              <w:rPr>
                <w:rFonts w:ascii="Calibri" w:eastAsia="Calibri" w:hAnsi="Calibri" w:cs="Calibri"/>
              </w:rPr>
              <w:t xml:space="preserve">                   79.631,93</w:t>
            </w:r>
          </w:p>
        </w:tc>
      </w:tr>
      <w:tr w:rsidR="22DF84DA" w:rsidRPr="00FC5B6A" w14:paraId="512447B5" w14:textId="77777777" w:rsidTr="0983F672">
        <w:trPr>
          <w:trHeight w:val="300"/>
        </w:trPr>
        <w:tc>
          <w:tcPr>
            <w:tcW w:w="6325" w:type="dxa"/>
          </w:tcPr>
          <w:p w14:paraId="7718E1E9" w14:textId="767576FD" w:rsidR="22DF84DA" w:rsidRPr="00FC5B6A" w:rsidRDefault="0983F672" w:rsidP="22DF84DA">
            <w:pPr>
              <w:rPr>
                <w:rFonts w:ascii="Calibri" w:eastAsia="Calibri" w:hAnsi="Calibri" w:cs="Calibri"/>
              </w:rPr>
            </w:pPr>
            <w:r w:rsidRPr="00FC5B6A">
              <w:rPr>
                <w:rFonts w:ascii="Calibri" w:eastAsia="Calibri" w:hAnsi="Calibri" w:cs="Calibri"/>
              </w:rPr>
              <w:t>Áreas con previa decisión de ordenamiento y territorios colectivos</w:t>
            </w:r>
          </w:p>
        </w:tc>
        <w:tc>
          <w:tcPr>
            <w:tcW w:w="2511" w:type="dxa"/>
          </w:tcPr>
          <w:p w14:paraId="12DF4B6B" w14:textId="6E062AE2" w:rsidR="22DF84DA" w:rsidRPr="00FC5B6A" w:rsidRDefault="22DF84DA" w:rsidP="1A24BF23">
            <w:pPr>
              <w:jc w:val="right"/>
            </w:pPr>
            <w:r w:rsidRPr="00FC5B6A">
              <w:rPr>
                <w:rFonts w:ascii="Calibri" w:eastAsia="Calibri" w:hAnsi="Calibri" w:cs="Calibri"/>
              </w:rPr>
              <w:t xml:space="preserve">                 425.423,34</w:t>
            </w:r>
          </w:p>
        </w:tc>
      </w:tr>
    </w:tbl>
    <w:p w14:paraId="391750D2" w14:textId="172BC2B8" w:rsidR="22DF84DA" w:rsidRPr="00FC5B6A" w:rsidRDefault="22DF84DA" w:rsidP="22DF84DA">
      <w:pPr>
        <w:pStyle w:val="FIGYTAB"/>
      </w:pPr>
    </w:p>
    <w:p w14:paraId="48B32D3F" w14:textId="6393B124" w:rsidR="22DF84DA" w:rsidRPr="00FC5B6A" w:rsidRDefault="22DF84DA" w:rsidP="1A24BF23">
      <w:pPr>
        <w:pStyle w:val="FIGYTAB"/>
      </w:pPr>
      <w:r w:rsidRPr="00FC5B6A">
        <w:t xml:space="preserve">Figura </w:t>
      </w:r>
      <w:r w:rsidR="00E74796" w:rsidRPr="00FC5B6A">
        <w:rPr>
          <w:rFonts w:cstheme="minorHAnsi"/>
          <w:bCs w:val="0"/>
          <w:sz w:val="20"/>
          <w:szCs w:val="16"/>
        </w:rPr>
        <w:fldChar w:fldCharType="begin"/>
      </w:r>
      <w:r w:rsidR="00E74796" w:rsidRPr="00FC5B6A">
        <w:rPr>
          <w:rFonts w:cstheme="minorHAnsi"/>
          <w:sz w:val="20"/>
          <w:szCs w:val="16"/>
        </w:rPr>
        <w:instrText xml:space="preserve"> SEQ Figura_ \* ARABIC </w:instrText>
      </w:r>
      <w:r w:rsidR="00E74796" w:rsidRPr="00FC5B6A">
        <w:rPr>
          <w:rFonts w:cstheme="minorHAnsi"/>
          <w:bCs w:val="0"/>
          <w:sz w:val="20"/>
          <w:szCs w:val="16"/>
        </w:rPr>
        <w:fldChar w:fldCharType="separate"/>
      </w:r>
      <w:r w:rsidR="00E74796">
        <w:rPr>
          <w:rFonts w:cstheme="minorHAnsi"/>
          <w:noProof/>
          <w:sz w:val="20"/>
          <w:szCs w:val="16"/>
        </w:rPr>
        <w:t>1</w:t>
      </w:r>
      <w:r w:rsidR="00E74796" w:rsidRPr="00FC5B6A">
        <w:rPr>
          <w:rFonts w:cstheme="minorHAnsi"/>
          <w:bCs w:val="0"/>
          <w:sz w:val="20"/>
          <w:szCs w:val="16"/>
        </w:rPr>
        <w:fldChar w:fldCharType="end"/>
      </w:r>
      <w:r w:rsidR="00E74796" w:rsidRPr="00FC5B6A">
        <w:rPr>
          <w:rFonts w:cstheme="minorHAnsi"/>
          <w:sz w:val="20"/>
          <w:szCs w:val="16"/>
        </w:rPr>
        <w:t>.</w:t>
      </w:r>
      <w:r w:rsidRPr="00FC5B6A">
        <w:t xml:space="preserve"> Localización Reserva Forestal El Cocuy</w:t>
      </w:r>
    </w:p>
    <w:p w14:paraId="3D053B51" w14:textId="241F1B5D" w:rsidR="22DF84DA" w:rsidRPr="00FC5B6A" w:rsidRDefault="22DF84DA" w:rsidP="1A24BF23">
      <w:pPr>
        <w:jc w:val="center"/>
        <w:rPr>
          <w:rFonts w:ascii="Calibri" w:eastAsia="Calibri" w:hAnsi="Calibri" w:cs="Calibri"/>
          <w:b/>
          <w:bCs/>
        </w:rPr>
      </w:pPr>
      <w:r w:rsidRPr="00FC5B6A">
        <w:rPr>
          <w:noProof/>
        </w:rPr>
        <w:drawing>
          <wp:inline distT="0" distB="0" distL="0" distR="0" wp14:anchorId="409D76D0" wp14:editId="751526B3">
            <wp:extent cx="2857621" cy="4043156"/>
            <wp:effectExtent l="0" t="0" r="0" b="0"/>
            <wp:docPr id="56145278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452783" name=""/>
                    <pic:cNvPicPr/>
                  </pic:nvPicPr>
                  <pic:blipFill>
                    <a:blip r:embed="rId8" cstate="email">
                      <a:extLst>
                        <a:ext uri="{28A0092B-C50C-407E-A947-70E740481C1C}">
                          <a14:useLocalDpi xmlns:a14="http://schemas.microsoft.com/office/drawing/2010/main"/>
                        </a:ext>
                      </a:extLst>
                    </a:blip>
                    <a:stretch>
                      <a:fillRect/>
                    </a:stretch>
                  </pic:blipFill>
                  <pic:spPr>
                    <a:xfrm>
                      <a:off x="0" y="0"/>
                      <a:ext cx="2857621" cy="4043156"/>
                    </a:xfrm>
                    <a:prstGeom prst="rect">
                      <a:avLst/>
                    </a:prstGeom>
                  </pic:spPr>
                </pic:pic>
              </a:graphicData>
            </a:graphic>
          </wp:inline>
        </w:drawing>
      </w:r>
    </w:p>
    <w:p w14:paraId="6FBDE8B9" w14:textId="0A70BC97" w:rsidR="22DF84DA" w:rsidRPr="00FC5B6A" w:rsidRDefault="22DF84DA" w:rsidP="1A24BF23">
      <w:pPr>
        <w:jc w:val="both"/>
        <w:rPr>
          <w:rFonts w:ascii="Calibri" w:eastAsia="Calibri" w:hAnsi="Calibri" w:cs="Calibri"/>
        </w:rPr>
      </w:pPr>
      <w:r w:rsidRPr="00FC5B6A">
        <w:rPr>
          <w:rFonts w:ascii="Calibri" w:eastAsia="Calibri" w:hAnsi="Calibri" w:cs="Calibri"/>
        </w:rPr>
        <w:t xml:space="preserve">Ahora bien, teniendo en cuenta, que el artículo 4 que la Ley 1930 de 2018 en el marco procedimental para la delimitación del páramos, previendo en su parágrafo 2 que respecto a los páramos delimitados las autoridades ambientales regionales deberán generar los espacios de participación, en el marco de la zonificación y régimen de usos y lo que comprende en este caso los lineamientos para el ordenamiento y planificación participativa del área de reserva forestal que a su vez se traslapa con el páramo de Sierra Nevada del Cocuy, con el fin de construir de manera concertada los programas, planes y proyectos de reconversión o sustitución de las actividades prohibidas que hayan quedado en su interior, conforme a los lineamientos que para el efecto hayan expedido el Ministerio de Ambiente y Desarrollo Sostenible y el Ministerio de Agricultura y Desarrollo Rural. Así las cosas, las áreas de los ecosistemas de páramo para su ordenamiento ambiental y gestión tendrán la participación de la comunidad durante la formulación de los Planes de Manejo Ambiental y una vez se cuente con acto administrativo de delimitación. </w:t>
      </w:r>
    </w:p>
    <w:p w14:paraId="6A23C12C" w14:textId="5C50D351" w:rsidR="22DF84DA" w:rsidRDefault="22DF84DA" w:rsidP="0983F672">
      <w:pPr>
        <w:jc w:val="both"/>
        <w:rPr>
          <w:rFonts w:ascii="Calibri" w:eastAsia="Calibri" w:hAnsi="Calibri" w:cs="Calibri"/>
        </w:rPr>
      </w:pPr>
      <w:r w:rsidRPr="00FC5B6A">
        <w:rPr>
          <w:rFonts w:ascii="Calibri" w:eastAsia="Calibri" w:hAnsi="Calibri" w:cs="Calibri"/>
        </w:rPr>
        <w:t>Así las cosas, es necesario diferenciar dentro del área de Reserva Forestal las áreas traslapadas con ecosistemas estratégicos de páramo</w:t>
      </w:r>
      <w:r w:rsidRPr="00E74796">
        <w:rPr>
          <w:rFonts w:ascii="Calibri" w:eastAsia="Calibri" w:hAnsi="Calibri" w:cs="Calibri"/>
          <w:vertAlign w:val="superscript"/>
        </w:rPr>
        <w:footnoteReference w:id="8"/>
      </w:r>
      <w:r w:rsidRPr="00FC5B6A">
        <w:rPr>
          <w:rFonts w:ascii="Calibri" w:eastAsia="Calibri" w:hAnsi="Calibri" w:cs="Calibri"/>
        </w:rPr>
        <w:t xml:space="preserve">, pues dichas áreas, de acuerdo con lo conceptuado en el párrafo anterior no harán parte del ámbito de aplicación del acto administrativo. Por tanto, a </w:t>
      </w:r>
      <w:r w:rsidRPr="00FC5B6A">
        <w:rPr>
          <w:rFonts w:ascii="Calibri" w:eastAsia="Calibri" w:hAnsi="Calibri" w:cs="Calibri"/>
        </w:rPr>
        <w:lastRenderedPageBreak/>
        <w:t xml:space="preserve">continuación, se evidencian los datos de las áreas de la Reserva Forestal que presentan traslapes con las áreas delimitadas para ecosistemas de páramos y que no tienen efecto en el acto administrativo: </w:t>
      </w:r>
    </w:p>
    <w:p w14:paraId="194CD96A" w14:textId="77777777" w:rsidR="000C325D" w:rsidRPr="00FC5B6A" w:rsidRDefault="000C325D" w:rsidP="0983F672">
      <w:pPr>
        <w:jc w:val="both"/>
        <w:rPr>
          <w:rFonts w:ascii="Calibri" w:eastAsia="Calibri" w:hAnsi="Calibri" w:cs="Calibri"/>
        </w:rPr>
      </w:pPr>
    </w:p>
    <w:p w14:paraId="3C75677A" w14:textId="747371A2" w:rsidR="22DF84DA" w:rsidRPr="00FC5B6A" w:rsidRDefault="22DF84DA" w:rsidP="22DF84DA">
      <w:pPr>
        <w:pStyle w:val="FIGYTAB"/>
        <w:rPr>
          <w:rFonts w:ascii="Calibri" w:hAnsi="Calibri" w:cs="Calibri"/>
          <w:sz w:val="22"/>
          <w:szCs w:val="22"/>
        </w:rPr>
      </w:pPr>
      <w:r w:rsidRPr="00FC5B6A">
        <w:t xml:space="preserve">Tabla </w:t>
      </w:r>
      <w:r>
        <w:fldChar w:fldCharType="begin"/>
      </w:r>
      <w:r>
        <w:instrText>SEQ Tabla \* ARABIC</w:instrText>
      </w:r>
      <w:r>
        <w:fldChar w:fldCharType="separate"/>
      </w:r>
      <w:r w:rsidR="00E74796" w:rsidRPr="00E74796">
        <w:t>2</w:t>
      </w:r>
      <w:r>
        <w:fldChar w:fldCharType="end"/>
      </w:r>
      <w:r w:rsidR="00E74796" w:rsidRPr="00FC5B6A">
        <w:t>.</w:t>
      </w:r>
      <w:r w:rsidRPr="00FC5B6A">
        <w:t xml:space="preserve"> Traslapes entre ecosistemas de páramo y el área de la Reserva Forestal El Cocuy - Zonificación</w:t>
      </w:r>
    </w:p>
    <w:tbl>
      <w:tblPr>
        <w:tblStyle w:val="Tablaconcuadrcula"/>
        <w:tblW w:w="0" w:type="auto"/>
        <w:tblLayout w:type="fixed"/>
        <w:tblLook w:val="06A0" w:firstRow="1" w:lastRow="0" w:firstColumn="1" w:lastColumn="0" w:noHBand="1" w:noVBand="1"/>
      </w:tblPr>
      <w:tblGrid>
        <w:gridCol w:w="2945"/>
        <w:gridCol w:w="2945"/>
        <w:gridCol w:w="2945"/>
      </w:tblGrid>
      <w:tr w:rsidR="22DF84DA" w:rsidRPr="00FC5B6A" w14:paraId="5A481F5B" w14:textId="77777777" w:rsidTr="1A24BF23">
        <w:trPr>
          <w:trHeight w:val="300"/>
        </w:trPr>
        <w:tc>
          <w:tcPr>
            <w:tcW w:w="2945" w:type="dxa"/>
          </w:tcPr>
          <w:p w14:paraId="07B42122" w14:textId="31E5BC9B" w:rsidR="22DF84DA" w:rsidRPr="00FC5B6A" w:rsidRDefault="22DF84DA" w:rsidP="22DF84DA">
            <w:pPr>
              <w:rPr>
                <w:rFonts w:ascii="Calibri" w:eastAsia="Calibri" w:hAnsi="Calibri" w:cs="Calibri"/>
                <w:b/>
                <w:bCs/>
              </w:rPr>
            </w:pPr>
            <w:r w:rsidRPr="00FC5B6A">
              <w:rPr>
                <w:rFonts w:ascii="Calibri" w:eastAsia="Calibri" w:hAnsi="Calibri" w:cs="Calibri"/>
                <w:b/>
                <w:bCs/>
              </w:rPr>
              <w:t>Ecosistema de páramo</w:t>
            </w:r>
          </w:p>
        </w:tc>
        <w:tc>
          <w:tcPr>
            <w:tcW w:w="2945" w:type="dxa"/>
          </w:tcPr>
          <w:p w14:paraId="71737B32" w14:textId="6408BE1E" w:rsidR="22DF84DA" w:rsidRPr="00FC5B6A" w:rsidRDefault="22DF84DA" w:rsidP="22DF84DA">
            <w:pPr>
              <w:rPr>
                <w:rFonts w:ascii="Calibri" w:eastAsia="Calibri" w:hAnsi="Calibri" w:cs="Calibri"/>
                <w:b/>
                <w:bCs/>
              </w:rPr>
            </w:pPr>
            <w:r w:rsidRPr="00FC5B6A">
              <w:rPr>
                <w:rFonts w:ascii="Calibri" w:eastAsia="Calibri" w:hAnsi="Calibri" w:cs="Calibri"/>
                <w:b/>
                <w:bCs/>
              </w:rPr>
              <w:t>Categoría Zonificación Ley 2da de 1959</w:t>
            </w:r>
          </w:p>
        </w:tc>
        <w:tc>
          <w:tcPr>
            <w:tcW w:w="2945" w:type="dxa"/>
          </w:tcPr>
          <w:p w14:paraId="1B24CE85" w14:textId="0B0122E4" w:rsidR="22DF84DA" w:rsidRPr="00FC5B6A" w:rsidRDefault="22DF84DA" w:rsidP="22DF84DA">
            <w:pPr>
              <w:rPr>
                <w:rFonts w:ascii="Calibri" w:eastAsia="Calibri" w:hAnsi="Calibri" w:cs="Calibri"/>
                <w:b/>
                <w:bCs/>
              </w:rPr>
            </w:pPr>
            <w:r w:rsidRPr="00FC5B6A">
              <w:rPr>
                <w:rFonts w:ascii="Calibri" w:eastAsia="Calibri" w:hAnsi="Calibri" w:cs="Calibri"/>
                <w:b/>
                <w:bCs/>
              </w:rPr>
              <w:t>Hectáreas de traslape</w:t>
            </w:r>
          </w:p>
        </w:tc>
      </w:tr>
      <w:tr w:rsidR="22DF84DA" w:rsidRPr="00FC5B6A" w14:paraId="27060473" w14:textId="77777777" w:rsidTr="1A24BF23">
        <w:trPr>
          <w:trHeight w:val="300"/>
        </w:trPr>
        <w:tc>
          <w:tcPr>
            <w:tcW w:w="2945" w:type="dxa"/>
            <w:vMerge w:val="restart"/>
          </w:tcPr>
          <w:p w14:paraId="197ABAE1" w14:textId="26C0BB90" w:rsidR="22DF84DA" w:rsidRPr="00FC5B6A" w:rsidRDefault="22DF84DA" w:rsidP="22DF84DA">
            <w:pPr>
              <w:rPr>
                <w:rFonts w:ascii="Calibri" w:eastAsia="Calibri" w:hAnsi="Calibri" w:cs="Calibri"/>
              </w:rPr>
            </w:pPr>
            <w:r w:rsidRPr="00FC5B6A">
              <w:rPr>
                <w:rFonts w:ascii="Calibri" w:eastAsia="Calibri" w:hAnsi="Calibri" w:cs="Calibri"/>
              </w:rPr>
              <w:t>Almorzadero</w:t>
            </w:r>
          </w:p>
        </w:tc>
        <w:tc>
          <w:tcPr>
            <w:tcW w:w="2945" w:type="dxa"/>
          </w:tcPr>
          <w:p w14:paraId="38BB8B91" w14:textId="3F184549" w:rsidR="22DF84DA" w:rsidRPr="00FC5B6A" w:rsidRDefault="22DF84DA" w:rsidP="22DF84DA">
            <w:pPr>
              <w:rPr>
                <w:rFonts w:ascii="Calibri" w:eastAsia="Calibri" w:hAnsi="Calibri" w:cs="Calibri"/>
              </w:rPr>
            </w:pPr>
            <w:r w:rsidRPr="00FC5B6A">
              <w:rPr>
                <w:rFonts w:ascii="Calibri" w:eastAsia="Calibri" w:hAnsi="Calibri" w:cs="Calibri"/>
              </w:rPr>
              <w:t>Tipo A</w:t>
            </w:r>
          </w:p>
        </w:tc>
        <w:tc>
          <w:tcPr>
            <w:tcW w:w="2945" w:type="dxa"/>
          </w:tcPr>
          <w:p w14:paraId="0FA94485" w14:textId="788AC103" w:rsidR="22DF84DA" w:rsidRPr="00FC5B6A" w:rsidRDefault="22DF84DA" w:rsidP="1A24BF23">
            <w:pPr>
              <w:jc w:val="right"/>
              <w:rPr>
                <w:rFonts w:ascii="Calibri" w:eastAsia="Calibri" w:hAnsi="Calibri" w:cs="Calibri"/>
              </w:rPr>
            </w:pPr>
            <w:r w:rsidRPr="00FC5B6A">
              <w:rPr>
                <w:rFonts w:ascii="Calibri" w:eastAsia="Calibri" w:hAnsi="Calibri" w:cs="Calibri"/>
              </w:rPr>
              <w:t>4.275,20</w:t>
            </w:r>
          </w:p>
        </w:tc>
      </w:tr>
      <w:tr w:rsidR="22DF84DA" w:rsidRPr="00FC5B6A" w14:paraId="59C86757" w14:textId="77777777" w:rsidTr="1A24BF23">
        <w:trPr>
          <w:trHeight w:val="300"/>
        </w:trPr>
        <w:tc>
          <w:tcPr>
            <w:tcW w:w="2945" w:type="dxa"/>
            <w:vMerge/>
          </w:tcPr>
          <w:p w14:paraId="5CE09816" w14:textId="77777777" w:rsidR="00BD23C9" w:rsidRPr="00FC5B6A" w:rsidRDefault="00BD23C9"/>
        </w:tc>
        <w:tc>
          <w:tcPr>
            <w:tcW w:w="2945" w:type="dxa"/>
          </w:tcPr>
          <w:p w14:paraId="5AB3636C" w14:textId="0F96C304" w:rsidR="22DF84DA" w:rsidRPr="00FC5B6A" w:rsidRDefault="22DF84DA" w:rsidP="22DF84DA">
            <w:pPr>
              <w:rPr>
                <w:rFonts w:ascii="Calibri" w:eastAsia="Calibri" w:hAnsi="Calibri" w:cs="Calibri"/>
              </w:rPr>
            </w:pPr>
            <w:r w:rsidRPr="00FC5B6A">
              <w:rPr>
                <w:rFonts w:ascii="Calibri" w:eastAsia="Calibri" w:hAnsi="Calibri" w:cs="Calibri"/>
              </w:rPr>
              <w:t>Tipo C</w:t>
            </w:r>
          </w:p>
        </w:tc>
        <w:tc>
          <w:tcPr>
            <w:tcW w:w="2945" w:type="dxa"/>
          </w:tcPr>
          <w:p w14:paraId="30B9E120" w14:textId="30C294D1" w:rsidR="22DF84DA" w:rsidRPr="00FC5B6A" w:rsidRDefault="22DF84DA" w:rsidP="1A24BF23">
            <w:pPr>
              <w:jc w:val="right"/>
              <w:rPr>
                <w:rFonts w:ascii="Calibri" w:eastAsia="Calibri" w:hAnsi="Calibri" w:cs="Calibri"/>
              </w:rPr>
            </w:pPr>
            <w:r w:rsidRPr="00FC5B6A">
              <w:rPr>
                <w:rFonts w:ascii="Calibri" w:eastAsia="Calibri" w:hAnsi="Calibri" w:cs="Calibri"/>
              </w:rPr>
              <w:t>1.187,49</w:t>
            </w:r>
          </w:p>
        </w:tc>
      </w:tr>
      <w:tr w:rsidR="22DF84DA" w:rsidRPr="00FC5B6A" w14:paraId="4E443B59" w14:textId="77777777" w:rsidTr="1A24BF23">
        <w:trPr>
          <w:trHeight w:val="300"/>
        </w:trPr>
        <w:tc>
          <w:tcPr>
            <w:tcW w:w="2945" w:type="dxa"/>
            <w:vMerge/>
          </w:tcPr>
          <w:p w14:paraId="2F5FA25F" w14:textId="77777777" w:rsidR="00BD23C9" w:rsidRPr="00FC5B6A" w:rsidRDefault="00BD23C9"/>
        </w:tc>
        <w:tc>
          <w:tcPr>
            <w:tcW w:w="2945" w:type="dxa"/>
          </w:tcPr>
          <w:p w14:paraId="3E317161" w14:textId="49B569EA" w:rsidR="22DF84DA" w:rsidRPr="00FC5B6A" w:rsidRDefault="22DF84DA" w:rsidP="22DF84DA">
            <w:pPr>
              <w:rPr>
                <w:rFonts w:ascii="Calibri" w:eastAsia="Calibri" w:hAnsi="Calibri" w:cs="Calibri"/>
              </w:rPr>
            </w:pPr>
            <w:r w:rsidRPr="00FC5B6A">
              <w:rPr>
                <w:rFonts w:ascii="Calibri" w:eastAsia="Calibri" w:hAnsi="Calibri" w:cs="Calibri"/>
              </w:rPr>
              <w:t>Áreas con previa decisión de Ordenamiento</w:t>
            </w:r>
          </w:p>
        </w:tc>
        <w:tc>
          <w:tcPr>
            <w:tcW w:w="2945" w:type="dxa"/>
          </w:tcPr>
          <w:p w14:paraId="26D6FFF0" w14:textId="4E7BFF21" w:rsidR="22DF84DA" w:rsidRPr="00FC5B6A" w:rsidRDefault="22DF84DA" w:rsidP="1A24BF23">
            <w:pPr>
              <w:jc w:val="right"/>
              <w:rPr>
                <w:rFonts w:ascii="Calibri" w:eastAsia="Calibri" w:hAnsi="Calibri" w:cs="Calibri"/>
              </w:rPr>
            </w:pPr>
            <w:r w:rsidRPr="00FC5B6A">
              <w:rPr>
                <w:rFonts w:ascii="Calibri" w:eastAsia="Calibri" w:hAnsi="Calibri" w:cs="Calibri"/>
              </w:rPr>
              <w:t>5.709,19</w:t>
            </w:r>
          </w:p>
        </w:tc>
      </w:tr>
      <w:tr w:rsidR="22DF84DA" w:rsidRPr="00FC5B6A" w14:paraId="1191FAB0" w14:textId="77777777" w:rsidTr="1A24BF23">
        <w:trPr>
          <w:trHeight w:val="300"/>
        </w:trPr>
        <w:tc>
          <w:tcPr>
            <w:tcW w:w="2945" w:type="dxa"/>
            <w:vMerge w:val="restart"/>
          </w:tcPr>
          <w:p w14:paraId="776C2B6C" w14:textId="03CF7317" w:rsidR="22DF84DA" w:rsidRPr="00FC5B6A" w:rsidRDefault="22DF84DA" w:rsidP="22DF84DA">
            <w:pPr>
              <w:rPr>
                <w:rFonts w:ascii="Calibri" w:eastAsia="Calibri" w:hAnsi="Calibri" w:cs="Calibri"/>
              </w:rPr>
            </w:pPr>
            <w:r w:rsidRPr="00FC5B6A">
              <w:rPr>
                <w:rFonts w:ascii="Calibri" w:eastAsia="Calibri" w:hAnsi="Calibri" w:cs="Calibri"/>
              </w:rPr>
              <w:t>Sierra Nevada del Cocuy</w:t>
            </w:r>
          </w:p>
        </w:tc>
        <w:tc>
          <w:tcPr>
            <w:tcW w:w="2945" w:type="dxa"/>
          </w:tcPr>
          <w:p w14:paraId="03829C64" w14:textId="3F184549" w:rsidR="22DF84DA" w:rsidRPr="00FC5B6A" w:rsidRDefault="22DF84DA" w:rsidP="22DF84DA">
            <w:pPr>
              <w:rPr>
                <w:rFonts w:ascii="Calibri" w:eastAsia="Calibri" w:hAnsi="Calibri" w:cs="Calibri"/>
              </w:rPr>
            </w:pPr>
            <w:r w:rsidRPr="00FC5B6A">
              <w:rPr>
                <w:rFonts w:ascii="Calibri" w:eastAsia="Calibri" w:hAnsi="Calibri" w:cs="Calibri"/>
              </w:rPr>
              <w:t>Tipo A</w:t>
            </w:r>
          </w:p>
        </w:tc>
        <w:tc>
          <w:tcPr>
            <w:tcW w:w="2945" w:type="dxa"/>
          </w:tcPr>
          <w:p w14:paraId="6996D244" w14:textId="3FB5BF40" w:rsidR="22DF84DA" w:rsidRPr="00FC5B6A" w:rsidRDefault="22DF84DA" w:rsidP="1A24BF23">
            <w:pPr>
              <w:jc w:val="right"/>
              <w:rPr>
                <w:rFonts w:ascii="Calibri" w:eastAsia="Calibri" w:hAnsi="Calibri" w:cs="Calibri"/>
              </w:rPr>
            </w:pPr>
            <w:r w:rsidRPr="00FC5B6A">
              <w:rPr>
                <w:rFonts w:ascii="Calibri" w:eastAsia="Calibri" w:hAnsi="Calibri" w:cs="Calibri"/>
              </w:rPr>
              <w:t>55.327,38</w:t>
            </w:r>
          </w:p>
        </w:tc>
      </w:tr>
      <w:tr w:rsidR="22DF84DA" w:rsidRPr="00FC5B6A" w14:paraId="750B8771" w14:textId="77777777" w:rsidTr="1A24BF23">
        <w:trPr>
          <w:trHeight w:val="300"/>
        </w:trPr>
        <w:tc>
          <w:tcPr>
            <w:tcW w:w="2945" w:type="dxa"/>
            <w:vMerge/>
          </w:tcPr>
          <w:p w14:paraId="2583506C" w14:textId="77777777" w:rsidR="00BD23C9" w:rsidRPr="00FC5B6A" w:rsidRDefault="00BD23C9"/>
        </w:tc>
        <w:tc>
          <w:tcPr>
            <w:tcW w:w="2945" w:type="dxa"/>
          </w:tcPr>
          <w:p w14:paraId="59D96CCD" w14:textId="0F96C304" w:rsidR="22DF84DA" w:rsidRPr="00FC5B6A" w:rsidRDefault="22DF84DA" w:rsidP="22DF84DA">
            <w:pPr>
              <w:rPr>
                <w:rFonts w:ascii="Calibri" w:eastAsia="Calibri" w:hAnsi="Calibri" w:cs="Calibri"/>
              </w:rPr>
            </w:pPr>
            <w:r w:rsidRPr="00FC5B6A">
              <w:rPr>
                <w:rFonts w:ascii="Calibri" w:eastAsia="Calibri" w:hAnsi="Calibri" w:cs="Calibri"/>
              </w:rPr>
              <w:t>Tipo C</w:t>
            </w:r>
          </w:p>
        </w:tc>
        <w:tc>
          <w:tcPr>
            <w:tcW w:w="2945" w:type="dxa"/>
          </w:tcPr>
          <w:p w14:paraId="5F423DEE" w14:textId="16433844" w:rsidR="22DF84DA" w:rsidRPr="00FC5B6A" w:rsidRDefault="22DF84DA" w:rsidP="1A24BF23">
            <w:pPr>
              <w:jc w:val="right"/>
              <w:rPr>
                <w:rFonts w:ascii="Calibri" w:eastAsia="Calibri" w:hAnsi="Calibri" w:cs="Calibri"/>
              </w:rPr>
            </w:pPr>
            <w:r w:rsidRPr="00FC5B6A">
              <w:rPr>
                <w:rFonts w:ascii="Calibri" w:eastAsia="Calibri" w:hAnsi="Calibri" w:cs="Calibri"/>
              </w:rPr>
              <w:t>182,34</w:t>
            </w:r>
          </w:p>
        </w:tc>
      </w:tr>
      <w:tr w:rsidR="22DF84DA" w:rsidRPr="00FC5B6A" w14:paraId="0CCFDB8C" w14:textId="77777777" w:rsidTr="1A24BF23">
        <w:trPr>
          <w:trHeight w:val="300"/>
        </w:trPr>
        <w:tc>
          <w:tcPr>
            <w:tcW w:w="2945" w:type="dxa"/>
            <w:vMerge/>
          </w:tcPr>
          <w:p w14:paraId="5EABF45A" w14:textId="77777777" w:rsidR="00BD23C9" w:rsidRPr="00FC5B6A" w:rsidRDefault="00BD23C9"/>
        </w:tc>
        <w:tc>
          <w:tcPr>
            <w:tcW w:w="2945" w:type="dxa"/>
          </w:tcPr>
          <w:p w14:paraId="3E2B7E96" w14:textId="49B569EA" w:rsidR="22DF84DA" w:rsidRPr="00FC5B6A" w:rsidRDefault="22DF84DA" w:rsidP="22DF84DA">
            <w:pPr>
              <w:rPr>
                <w:rFonts w:ascii="Calibri" w:eastAsia="Calibri" w:hAnsi="Calibri" w:cs="Calibri"/>
              </w:rPr>
            </w:pPr>
            <w:r w:rsidRPr="00FC5B6A">
              <w:rPr>
                <w:rFonts w:ascii="Calibri" w:eastAsia="Calibri" w:hAnsi="Calibri" w:cs="Calibri"/>
              </w:rPr>
              <w:t>Áreas con previa decisión de Ordenamiento</w:t>
            </w:r>
          </w:p>
        </w:tc>
        <w:tc>
          <w:tcPr>
            <w:tcW w:w="2945" w:type="dxa"/>
          </w:tcPr>
          <w:p w14:paraId="3D836FD1" w14:textId="26E53684" w:rsidR="22DF84DA" w:rsidRPr="00FC5B6A" w:rsidRDefault="22DF84DA" w:rsidP="1A24BF23">
            <w:pPr>
              <w:jc w:val="right"/>
              <w:rPr>
                <w:rFonts w:ascii="Calibri" w:eastAsia="Calibri" w:hAnsi="Calibri" w:cs="Calibri"/>
              </w:rPr>
            </w:pPr>
            <w:r w:rsidRPr="00FC5B6A">
              <w:rPr>
                <w:rFonts w:ascii="Calibri" w:eastAsia="Calibri" w:hAnsi="Calibri" w:cs="Calibri"/>
              </w:rPr>
              <w:t>164.446,98</w:t>
            </w:r>
          </w:p>
        </w:tc>
      </w:tr>
      <w:tr w:rsidR="22DF84DA" w:rsidRPr="00FC5B6A" w14:paraId="50BEBE93" w14:textId="77777777" w:rsidTr="1A24BF23">
        <w:trPr>
          <w:trHeight w:val="300"/>
        </w:trPr>
        <w:tc>
          <w:tcPr>
            <w:tcW w:w="2945" w:type="dxa"/>
            <w:vMerge w:val="restart"/>
          </w:tcPr>
          <w:p w14:paraId="0E72AACF" w14:textId="7FE92634" w:rsidR="22DF84DA" w:rsidRPr="00FC5B6A" w:rsidRDefault="22DF84DA" w:rsidP="22DF84DA">
            <w:pPr>
              <w:rPr>
                <w:rFonts w:ascii="Calibri" w:eastAsia="Calibri" w:hAnsi="Calibri" w:cs="Calibri"/>
              </w:rPr>
            </w:pPr>
            <w:proofErr w:type="spellStart"/>
            <w:r w:rsidRPr="00FC5B6A">
              <w:rPr>
                <w:rFonts w:ascii="Calibri" w:eastAsia="Calibri" w:hAnsi="Calibri" w:cs="Calibri"/>
              </w:rPr>
              <w:t>Tamá</w:t>
            </w:r>
            <w:proofErr w:type="spellEnd"/>
          </w:p>
        </w:tc>
        <w:tc>
          <w:tcPr>
            <w:tcW w:w="2945" w:type="dxa"/>
          </w:tcPr>
          <w:p w14:paraId="39D78DE5" w14:textId="58B8794B" w:rsidR="22DF84DA" w:rsidRPr="00FC5B6A" w:rsidRDefault="22DF84DA" w:rsidP="22DF84DA">
            <w:pPr>
              <w:rPr>
                <w:rFonts w:ascii="Calibri" w:eastAsia="Calibri" w:hAnsi="Calibri" w:cs="Calibri"/>
              </w:rPr>
            </w:pPr>
            <w:r w:rsidRPr="00FC5B6A">
              <w:rPr>
                <w:rFonts w:ascii="Calibri" w:eastAsia="Calibri" w:hAnsi="Calibri" w:cs="Calibri"/>
              </w:rPr>
              <w:t>Tipo A</w:t>
            </w:r>
          </w:p>
        </w:tc>
        <w:tc>
          <w:tcPr>
            <w:tcW w:w="2945" w:type="dxa"/>
          </w:tcPr>
          <w:p w14:paraId="321B1320" w14:textId="59B24A9F" w:rsidR="22DF84DA" w:rsidRPr="00FC5B6A" w:rsidRDefault="22DF84DA" w:rsidP="1A24BF23">
            <w:pPr>
              <w:jc w:val="right"/>
              <w:rPr>
                <w:rFonts w:ascii="Calibri" w:eastAsia="Calibri" w:hAnsi="Calibri" w:cs="Calibri"/>
              </w:rPr>
            </w:pPr>
            <w:r w:rsidRPr="00FC5B6A">
              <w:rPr>
                <w:rFonts w:ascii="Calibri" w:eastAsia="Calibri" w:hAnsi="Calibri" w:cs="Calibri"/>
              </w:rPr>
              <w:t>6.020,32</w:t>
            </w:r>
          </w:p>
        </w:tc>
      </w:tr>
      <w:tr w:rsidR="22DF84DA" w:rsidRPr="00FC5B6A" w14:paraId="5D6C3C9A" w14:textId="77777777" w:rsidTr="1A24BF23">
        <w:trPr>
          <w:trHeight w:val="300"/>
        </w:trPr>
        <w:tc>
          <w:tcPr>
            <w:tcW w:w="2945" w:type="dxa"/>
            <w:vMerge/>
          </w:tcPr>
          <w:p w14:paraId="53D5A026" w14:textId="77777777" w:rsidR="00BD23C9" w:rsidRPr="00FC5B6A" w:rsidRDefault="00BD23C9"/>
        </w:tc>
        <w:tc>
          <w:tcPr>
            <w:tcW w:w="2945" w:type="dxa"/>
          </w:tcPr>
          <w:p w14:paraId="6AD3DD1F" w14:textId="1EDB62A4" w:rsidR="22DF84DA" w:rsidRPr="00FC5B6A" w:rsidRDefault="22DF84DA" w:rsidP="22DF84DA">
            <w:pPr>
              <w:rPr>
                <w:rFonts w:ascii="Calibri" w:eastAsia="Calibri" w:hAnsi="Calibri" w:cs="Calibri"/>
              </w:rPr>
            </w:pPr>
            <w:r w:rsidRPr="00FC5B6A">
              <w:rPr>
                <w:rFonts w:ascii="Calibri" w:eastAsia="Calibri" w:hAnsi="Calibri" w:cs="Calibri"/>
              </w:rPr>
              <w:t>Áreas con previa decisión de Ordenamiento</w:t>
            </w:r>
          </w:p>
        </w:tc>
        <w:tc>
          <w:tcPr>
            <w:tcW w:w="2945" w:type="dxa"/>
          </w:tcPr>
          <w:p w14:paraId="4944C4EE" w14:textId="65A28D8D" w:rsidR="22DF84DA" w:rsidRPr="00FC5B6A" w:rsidRDefault="22DF84DA" w:rsidP="1A24BF23">
            <w:pPr>
              <w:jc w:val="right"/>
              <w:rPr>
                <w:rFonts w:ascii="Calibri" w:eastAsia="Calibri" w:hAnsi="Calibri" w:cs="Calibri"/>
              </w:rPr>
            </w:pPr>
            <w:r w:rsidRPr="00FC5B6A">
              <w:rPr>
                <w:rFonts w:ascii="Calibri" w:eastAsia="Calibri" w:hAnsi="Calibri" w:cs="Calibri"/>
              </w:rPr>
              <w:t>12.965,36</w:t>
            </w:r>
          </w:p>
        </w:tc>
      </w:tr>
    </w:tbl>
    <w:p w14:paraId="499111BE" w14:textId="728CDACE" w:rsidR="22DF84DA" w:rsidRPr="00FC5B6A" w:rsidRDefault="22DF84DA" w:rsidP="22DF84DA">
      <w:pPr>
        <w:jc w:val="both"/>
        <w:rPr>
          <w:rFonts w:ascii="Calibri" w:eastAsia="Calibri" w:hAnsi="Calibri" w:cs="Calibri"/>
        </w:rPr>
      </w:pPr>
    </w:p>
    <w:p w14:paraId="0FD8D426" w14:textId="58579D6E" w:rsidR="22DF84DA" w:rsidRPr="00FC5B6A" w:rsidRDefault="22DF84DA" w:rsidP="000C325D">
      <w:pPr>
        <w:jc w:val="both"/>
        <w:rPr>
          <w:rFonts w:ascii="Calibri" w:eastAsia="Calibri" w:hAnsi="Calibri" w:cs="Calibri"/>
        </w:rPr>
      </w:pPr>
      <w:r w:rsidRPr="00FC5B6A">
        <w:rPr>
          <w:rFonts w:ascii="Calibri" w:eastAsia="Calibri" w:hAnsi="Calibri" w:cs="Calibri"/>
        </w:rPr>
        <w:t xml:space="preserve">Ahora bien, estos traslapes dejan un área del total de 250.001 hectáreas que presenta traslapes entre los ecosistemas de páramo y la Reserva Forestal del Cocuy y que su manejo y gestión se realizará mediante la formulación e implementación del Plan de Manejo Ambiental correspondiente. </w:t>
      </w:r>
    </w:p>
    <w:p w14:paraId="0FE06201" w14:textId="633EED1C" w:rsidR="22DF84DA" w:rsidRPr="00FC5B6A" w:rsidRDefault="22DF84DA" w:rsidP="1A24BF23">
      <w:pPr>
        <w:pStyle w:val="FIGYTAB"/>
        <w:jc w:val="center"/>
      </w:pPr>
      <w:r w:rsidRPr="00FC5B6A">
        <w:t>Figura</w:t>
      </w:r>
      <w:r w:rsidR="00E74796" w:rsidRPr="00FC5B6A">
        <w:t xml:space="preserve"> </w:t>
      </w:r>
      <w:r w:rsidR="00E74796" w:rsidRPr="00FC5B6A">
        <w:rPr>
          <w:rFonts w:cstheme="minorHAnsi"/>
          <w:bCs w:val="0"/>
          <w:sz w:val="20"/>
          <w:szCs w:val="16"/>
        </w:rPr>
        <w:fldChar w:fldCharType="begin"/>
      </w:r>
      <w:r w:rsidR="00E74796" w:rsidRPr="00FC5B6A">
        <w:rPr>
          <w:rFonts w:cstheme="minorHAnsi"/>
          <w:sz w:val="20"/>
          <w:szCs w:val="16"/>
        </w:rPr>
        <w:instrText xml:space="preserve"> SEQ Figura_ \* ARABIC </w:instrText>
      </w:r>
      <w:r w:rsidR="00E74796" w:rsidRPr="00FC5B6A">
        <w:rPr>
          <w:rFonts w:cstheme="minorHAnsi"/>
          <w:bCs w:val="0"/>
          <w:sz w:val="20"/>
          <w:szCs w:val="16"/>
        </w:rPr>
        <w:fldChar w:fldCharType="separate"/>
      </w:r>
      <w:r w:rsidR="00F65552">
        <w:rPr>
          <w:rFonts w:cstheme="minorHAnsi"/>
          <w:noProof/>
          <w:sz w:val="20"/>
          <w:szCs w:val="16"/>
        </w:rPr>
        <w:t>2</w:t>
      </w:r>
      <w:r w:rsidR="00E74796" w:rsidRPr="00FC5B6A">
        <w:rPr>
          <w:rFonts w:cstheme="minorHAnsi"/>
          <w:bCs w:val="0"/>
          <w:sz w:val="20"/>
          <w:szCs w:val="16"/>
        </w:rPr>
        <w:fldChar w:fldCharType="end"/>
      </w:r>
      <w:r w:rsidR="00E74796" w:rsidRPr="00FC5B6A">
        <w:rPr>
          <w:rFonts w:cstheme="minorHAnsi"/>
          <w:sz w:val="20"/>
          <w:szCs w:val="16"/>
        </w:rPr>
        <w:t>.</w:t>
      </w:r>
      <w:r w:rsidRPr="00FC5B6A">
        <w:t xml:space="preserve"> Reserva Forestal del Cocuy y áreas con Previa Decisión de Ordenamiento</w:t>
      </w:r>
      <w:r w:rsidRPr="000C325D">
        <w:rPr>
          <w:vertAlign w:val="superscript"/>
        </w:rPr>
        <w:footnoteReference w:id="9"/>
      </w:r>
    </w:p>
    <w:p w14:paraId="4517969A" w14:textId="5848E558" w:rsidR="00ED3AAF" w:rsidRPr="00FC5B6A" w:rsidRDefault="22DF84DA" w:rsidP="000C325D">
      <w:pPr>
        <w:jc w:val="center"/>
        <w:rPr>
          <w:rFonts w:ascii="Calibri" w:eastAsia="Calibri" w:hAnsi="Calibri" w:cs="Calibri"/>
        </w:rPr>
      </w:pPr>
      <w:r w:rsidRPr="00FC5B6A">
        <w:rPr>
          <w:noProof/>
        </w:rPr>
        <w:lastRenderedPageBreak/>
        <w:drawing>
          <wp:inline distT="0" distB="0" distL="0" distR="0" wp14:anchorId="44EB835E" wp14:editId="1774C0CD">
            <wp:extent cx="3518632" cy="4978400"/>
            <wp:effectExtent l="0" t="0" r="5715" b="0"/>
            <wp:docPr id="8028005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800563" name=""/>
                    <pic:cNvPicPr/>
                  </pic:nvPicPr>
                  <pic:blipFill>
                    <a:blip r:embed="rId9" cstate="email">
                      <a:extLst>
                        <a:ext uri="{28A0092B-C50C-407E-A947-70E740481C1C}">
                          <a14:useLocalDpi xmlns:a14="http://schemas.microsoft.com/office/drawing/2010/main"/>
                        </a:ext>
                      </a:extLst>
                    </a:blip>
                    <a:stretch>
                      <a:fillRect/>
                    </a:stretch>
                  </pic:blipFill>
                  <pic:spPr>
                    <a:xfrm>
                      <a:off x="0" y="0"/>
                      <a:ext cx="3518632" cy="4978400"/>
                    </a:xfrm>
                    <a:prstGeom prst="rect">
                      <a:avLst/>
                    </a:prstGeom>
                  </pic:spPr>
                </pic:pic>
              </a:graphicData>
            </a:graphic>
          </wp:inline>
        </w:drawing>
      </w:r>
    </w:p>
    <w:p w14:paraId="567486A6" w14:textId="0ACD5CF4" w:rsidR="00697BC9" w:rsidRPr="00E74796" w:rsidRDefault="22DF84DA" w:rsidP="00E74796">
      <w:pPr>
        <w:rPr>
          <w:rFonts w:ascii="Calibri" w:eastAsia="Calibri" w:hAnsi="Calibri" w:cs="Calibri"/>
        </w:rPr>
      </w:pPr>
      <w:r w:rsidRPr="00FC5B6A">
        <w:rPr>
          <w:rFonts w:ascii="Calibri" w:eastAsia="Calibri" w:hAnsi="Calibri" w:cs="Calibri"/>
        </w:rPr>
        <w:t xml:space="preserve">Una vez revisada esta información, es pertinente aclarar que el acto administrativo tendrá efecto sobre </w:t>
      </w:r>
      <w:r w:rsidR="00E53363">
        <w:rPr>
          <w:rFonts w:ascii="Calibri" w:eastAsia="Calibri" w:hAnsi="Calibri" w:cs="Calibri"/>
        </w:rPr>
        <w:t>el área de Reserva Forestal de Ley 2ª de 1959 teniendo en cuenta</w:t>
      </w:r>
      <w:r w:rsidR="00697BC9">
        <w:rPr>
          <w:rFonts w:ascii="Calibri" w:eastAsia="Calibri" w:hAnsi="Calibri" w:cs="Calibri"/>
        </w:rPr>
        <w:t xml:space="preserve"> las siguientes exclusiones</w:t>
      </w:r>
      <w:r w:rsidR="00E53363">
        <w:rPr>
          <w:rFonts w:ascii="Calibri" w:eastAsia="Calibri" w:hAnsi="Calibri" w:cs="Calibri"/>
        </w:rPr>
        <w:t>:</w:t>
      </w:r>
    </w:p>
    <w:p w14:paraId="607E27C0" w14:textId="7B27893C" w:rsidR="00ED3AAF" w:rsidRPr="00E74796" w:rsidRDefault="00276B15" w:rsidP="000C325D">
      <w:pPr>
        <w:numPr>
          <w:ilvl w:val="0"/>
          <w:numId w:val="33"/>
        </w:numPr>
        <w:spacing w:after="0" w:line="240" w:lineRule="auto"/>
        <w:ind w:left="714" w:hanging="357"/>
        <w:jc w:val="both"/>
        <w:rPr>
          <w:rFonts w:ascii="Calibri" w:eastAsia="Calibri" w:hAnsi="Calibri" w:cs="Calibri"/>
        </w:rPr>
      </w:pPr>
      <w:r w:rsidRPr="00E74796">
        <w:rPr>
          <w:rFonts w:ascii="Calibri" w:eastAsia="Calibri" w:hAnsi="Calibri" w:cs="Calibri"/>
        </w:rPr>
        <w:t>Las áreas que integran el Sistema Nacional de Áreas Protegidas (SINAP)</w:t>
      </w:r>
    </w:p>
    <w:p w14:paraId="4F5E8271" w14:textId="53F7B240" w:rsidR="00697BC9" w:rsidRPr="00E74796" w:rsidRDefault="00697BC9" w:rsidP="000C325D">
      <w:pPr>
        <w:numPr>
          <w:ilvl w:val="0"/>
          <w:numId w:val="33"/>
        </w:numPr>
        <w:spacing w:after="0" w:line="240" w:lineRule="auto"/>
        <w:ind w:left="714" w:hanging="357"/>
        <w:jc w:val="both"/>
        <w:rPr>
          <w:rFonts w:ascii="Calibri" w:eastAsia="Calibri" w:hAnsi="Calibri" w:cs="Calibri"/>
        </w:rPr>
      </w:pPr>
      <w:r w:rsidRPr="00E74796">
        <w:rPr>
          <w:rFonts w:ascii="Calibri" w:eastAsia="Calibri" w:hAnsi="Calibri" w:cs="Calibri"/>
        </w:rPr>
        <w:t>Los territorios colectivos de comunidades negras, afrocolombianas, raizales y palenqueras, debidamente constituidos.</w:t>
      </w:r>
    </w:p>
    <w:p w14:paraId="77BF17B7" w14:textId="77777777" w:rsidR="00697BC9" w:rsidRPr="00E74796" w:rsidRDefault="00697BC9" w:rsidP="000C325D">
      <w:pPr>
        <w:numPr>
          <w:ilvl w:val="0"/>
          <w:numId w:val="33"/>
        </w:numPr>
        <w:spacing w:after="0" w:line="240" w:lineRule="auto"/>
        <w:ind w:left="714" w:hanging="357"/>
        <w:jc w:val="both"/>
        <w:rPr>
          <w:rFonts w:ascii="Calibri" w:eastAsia="Calibri" w:hAnsi="Calibri" w:cs="Calibri"/>
        </w:rPr>
      </w:pPr>
      <w:r w:rsidRPr="00E74796">
        <w:rPr>
          <w:rFonts w:ascii="Calibri" w:eastAsia="Calibri" w:hAnsi="Calibri" w:cs="Calibri"/>
        </w:rPr>
        <w:t>Los resguardos y territorios ancestrales y/o tradicionales de los pueblos indígenas, debidamente constituidos.</w:t>
      </w:r>
    </w:p>
    <w:p w14:paraId="78FDD28B" w14:textId="77777777" w:rsidR="00697BC9" w:rsidRPr="00697BC9" w:rsidRDefault="00697BC9" w:rsidP="000C325D">
      <w:pPr>
        <w:numPr>
          <w:ilvl w:val="0"/>
          <w:numId w:val="33"/>
        </w:numPr>
        <w:spacing w:after="0" w:line="240" w:lineRule="auto"/>
        <w:ind w:left="714" w:hanging="357"/>
        <w:jc w:val="both"/>
        <w:rPr>
          <w:rFonts w:ascii="Calibri" w:eastAsia="Calibri" w:hAnsi="Calibri" w:cs="Calibri"/>
          <w:lang w:val="en-US"/>
        </w:rPr>
      </w:pPr>
      <w:r w:rsidRPr="00697BC9">
        <w:rPr>
          <w:rFonts w:ascii="Calibri" w:eastAsia="Calibri" w:hAnsi="Calibri" w:cs="Calibri"/>
          <w:lang w:val="en-US"/>
        </w:rPr>
        <w:t xml:space="preserve">Páramos </w:t>
      </w:r>
      <w:proofErr w:type="spellStart"/>
      <w:r w:rsidRPr="00697BC9">
        <w:rPr>
          <w:rFonts w:ascii="Calibri" w:eastAsia="Calibri" w:hAnsi="Calibri" w:cs="Calibri"/>
          <w:lang w:val="en-US"/>
        </w:rPr>
        <w:t>delimitados</w:t>
      </w:r>
      <w:proofErr w:type="spellEnd"/>
      <w:r w:rsidRPr="00697BC9">
        <w:rPr>
          <w:rFonts w:ascii="Calibri" w:eastAsia="Calibri" w:hAnsi="Calibri" w:cs="Calibri"/>
          <w:lang w:val="en-US"/>
        </w:rPr>
        <w:t>.</w:t>
      </w:r>
    </w:p>
    <w:p w14:paraId="4858264B" w14:textId="77777777" w:rsidR="00C50E63" w:rsidRDefault="00C50E63" w:rsidP="22DF84DA">
      <w:pPr>
        <w:jc w:val="both"/>
        <w:rPr>
          <w:rFonts w:ascii="Calibri" w:eastAsia="Calibri" w:hAnsi="Calibri" w:cs="Calibri"/>
        </w:rPr>
      </w:pPr>
    </w:p>
    <w:p w14:paraId="64215241" w14:textId="7C13DF2A" w:rsidR="22DF84DA" w:rsidRPr="00FC5B6A" w:rsidRDefault="00C50E63" w:rsidP="22DF84DA">
      <w:pPr>
        <w:jc w:val="both"/>
        <w:rPr>
          <w:rFonts w:ascii="Calibri" w:eastAsia="Calibri" w:hAnsi="Calibri" w:cs="Calibri"/>
        </w:rPr>
      </w:pPr>
      <w:r>
        <w:rPr>
          <w:rFonts w:ascii="Calibri" w:eastAsia="Calibri" w:hAnsi="Calibri" w:cs="Calibri"/>
        </w:rPr>
        <w:t xml:space="preserve">A </w:t>
      </w:r>
      <w:r w:rsidR="22DF84DA" w:rsidRPr="00FC5B6A">
        <w:rPr>
          <w:rFonts w:ascii="Calibri" w:eastAsia="Calibri" w:hAnsi="Calibri" w:cs="Calibri"/>
        </w:rPr>
        <w:t xml:space="preserve">continuación, se realiza su desglose: </w:t>
      </w:r>
    </w:p>
    <w:p w14:paraId="051E3368" w14:textId="7FA3C4B0" w:rsidR="22DF84DA" w:rsidRPr="00FC5B6A" w:rsidRDefault="22DF84DA" w:rsidP="1A24BF23">
      <w:pPr>
        <w:pStyle w:val="FIGYTAB"/>
      </w:pPr>
      <w:r w:rsidRPr="00FC5B6A">
        <w:t xml:space="preserve">Tabla </w:t>
      </w:r>
      <w:r>
        <w:fldChar w:fldCharType="begin"/>
      </w:r>
      <w:r>
        <w:instrText>SEQ Tabla \* ARABIC</w:instrText>
      </w:r>
      <w:r>
        <w:fldChar w:fldCharType="separate"/>
      </w:r>
      <w:r w:rsidR="00E74796" w:rsidRPr="00E74796">
        <w:t>3</w:t>
      </w:r>
      <w:r>
        <w:fldChar w:fldCharType="end"/>
      </w:r>
      <w:r w:rsidR="00E74796" w:rsidRPr="00FC5B6A">
        <w:t xml:space="preserve">. </w:t>
      </w:r>
      <w:r w:rsidRPr="00FC5B6A">
        <w:t xml:space="preserve"> Áreas de la Reserva Forestal del Cocuy objeto de aplicación del acto administrativo</w:t>
      </w:r>
    </w:p>
    <w:tbl>
      <w:tblPr>
        <w:tblStyle w:val="Tablaconcuadrcula"/>
        <w:tblW w:w="0" w:type="auto"/>
        <w:tblLayout w:type="fixed"/>
        <w:tblLook w:val="06A0" w:firstRow="1" w:lastRow="0" w:firstColumn="1" w:lastColumn="0" w:noHBand="1" w:noVBand="1"/>
      </w:tblPr>
      <w:tblGrid>
        <w:gridCol w:w="4418"/>
        <w:gridCol w:w="4418"/>
      </w:tblGrid>
      <w:tr w:rsidR="22DF84DA" w:rsidRPr="00FC5B6A" w14:paraId="223C8151" w14:textId="77777777" w:rsidTr="1A24BF23">
        <w:trPr>
          <w:trHeight w:val="300"/>
        </w:trPr>
        <w:tc>
          <w:tcPr>
            <w:tcW w:w="4418" w:type="dxa"/>
          </w:tcPr>
          <w:p w14:paraId="5915D17D" w14:textId="3F96DA82" w:rsidR="22DF84DA" w:rsidRPr="00FC5B6A" w:rsidRDefault="22DF84DA" w:rsidP="22DF84DA">
            <w:pPr>
              <w:rPr>
                <w:rFonts w:ascii="Calibri" w:eastAsia="Calibri" w:hAnsi="Calibri" w:cs="Calibri"/>
              </w:rPr>
            </w:pPr>
            <w:r w:rsidRPr="00FC5B6A">
              <w:rPr>
                <w:rFonts w:ascii="Calibri" w:eastAsia="Calibri" w:hAnsi="Calibri" w:cs="Calibri"/>
              </w:rPr>
              <w:t xml:space="preserve">Categoría Zonificación Ley 2da </w:t>
            </w:r>
          </w:p>
        </w:tc>
        <w:tc>
          <w:tcPr>
            <w:tcW w:w="4418" w:type="dxa"/>
          </w:tcPr>
          <w:p w14:paraId="32EFA34D" w14:textId="198DC8B1" w:rsidR="22DF84DA" w:rsidRPr="00FC5B6A" w:rsidRDefault="22DF84DA" w:rsidP="22DF84DA">
            <w:pPr>
              <w:rPr>
                <w:rFonts w:ascii="Calibri" w:eastAsia="Calibri" w:hAnsi="Calibri" w:cs="Calibri"/>
              </w:rPr>
            </w:pPr>
            <w:r w:rsidRPr="00FC5B6A">
              <w:rPr>
                <w:rFonts w:ascii="Calibri" w:eastAsia="Calibri" w:hAnsi="Calibri" w:cs="Calibri"/>
              </w:rPr>
              <w:t>Área en hectáreas</w:t>
            </w:r>
          </w:p>
        </w:tc>
      </w:tr>
      <w:tr w:rsidR="22DF84DA" w:rsidRPr="00FC5B6A" w14:paraId="1A20D45F" w14:textId="77777777" w:rsidTr="1A24BF23">
        <w:trPr>
          <w:trHeight w:val="300"/>
        </w:trPr>
        <w:tc>
          <w:tcPr>
            <w:tcW w:w="4418" w:type="dxa"/>
          </w:tcPr>
          <w:p w14:paraId="7324026D" w14:textId="4B93CB13" w:rsidR="22DF84DA" w:rsidRPr="00FC5B6A" w:rsidRDefault="22DF84DA" w:rsidP="22DF84DA">
            <w:pPr>
              <w:rPr>
                <w:rFonts w:ascii="Calibri" w:eastAsia="Calibri" w:hAnsi="Calibri" w:cs="Calibri"/>
              </w:rPr>
            </w:pPr>
            <w:r w:rsidRPr="00FC5B6A">
              <w:rPr>
                <w:rFonts w:ascii="Calibri" w:eastAsia="Calibri" w:hAnsi="Calibri" w:cs="Calibri"/>
              </w:rPr>
              <w:t>Tipo A</w:t>
            </w:r>
          </w:p>
        </w:tc>
        <w:tc>
          <w:tcPr>
            <w:tcW w:w="4418" w:type="dxa"/>
          </w:tcPr>
          <w:p w14:paraId="1BCB55BA" w14:textId="1BF4F178" w:rsidR="22DF84DA" w:rsidRPr="00FC5B6A" w:rsidRDefault="22DF84DA" w:rsidP="1A24BF23">
            <w:pPr>
              <w:jc w:val="right"/>
              <w:rPr>
                <w:rFonts w:ascii="Calibri" w:eastAsia="Calibri" w:hAnsi="Calibri" w:cs="Calibri"/>
              </w:rPr>
            </w:pPr>
            <w:r w:rsidRPr="00FC5B6A">
              <w:rPr>
                <w:rFonts w:ascii="Calibri" w:eastAsia="Calibri" w:hAnsi="Calibri" w:cs="Calibri"/>
              </w:rPr>
              <w:t>121.926,04</w:t>
            </w:r>
          </w:p>
        </w:tc>
      </w:tr>
      <w:tr w:rsidR="22DF84DA" w:rsidRPr="00FC5B6A" w14:paraId="25A11ABB" w14:textId="77777777" w:rsidTr="1A24BF23">
        <w:trPr>
          <w:trHeight w:val="300"/>
        </w:trPr>
        <w:tc>
          <w:tcPr>
            <w:tcW w:w="4418" w:type="dxa"/>
          </w:tcPr>
          <w:p w14:paraId="623AA2F5" w14:textId="3B51CC9F" w:rsidR="22DF84DA" w:rsidRPr="00FC5B6A" w:rsidRDefault="22DF84DA" w:rsidP="22DF84DA">
            <w:pPr>
              <w:rPr>
                <w:rFonts w:ascii="Calibri" w:eastAsia="Calibri" w:hAnsi="Calibri" w:cs="Calibri"/>
              </w:rPr>
            </w:pPr>
            <w:r w:rsidRPr="00FC5B6A">
              <w:rPr>
                <w:rFonts w:ascii="Calibri" w:eastAsia="Calibri" w:hAnsi="Calibri" w:cs="Calibri"/>
              </w:rPr>
              <w:t>Tipo B</w:t>
            </w:r>
          </w:p>
        </w:tc>
        <w:tc>
          <w:tcPr>
            <w:tcW w:w="4418" w:type="dxa"/>
          </w:tcPr>
          <w:p w14:paraId="29B91542" w14:textId="25A157A8" w:rsidR="22DF84DA" w:rsidRPr="00FC5B6A" w:rsidRDefault="22DF84DA" w:rsidP="1A24BF23">
            <w:pPr>
              <w:jc w:val="right"/>
              <w:rPr>
                <w:rFonts w:ascii="Calibri" w:eastAsia="Calibri" w:hAnsi="Calibri" w:cs="Calibri"/>
              </w:rPr>
            </w:pPr>
            <w:r w:rsidRPr="00FC5B6A">
              <w:rPr>
                <w:rFonts w:ascii="Calibri" w:eastAsia="Calibri" w:hAnsi="Calibri" w:cs="Calibri"/>
              </w:rPr>
              <w:t>21.283,04</w:t>
            </w:r>
          </w:p>
        </w:tc>
      </w:tr>
      <w:tr w:rsidR="22DF84DA" w:rsidRPr="00FC5B6A" w14:paraId="5A10EB9B" w14:textId="77777777" w:rsidTr="1A24BF23">
        <w:trPr>
          <w:trHeight w:val="300"/>
        </w:trPr>
        <w:tc>
          <w:tcPr>
            <w:tcW w:w="4418" w:type="dxa"/>
          </w:tcPr>
          <w:p w14:paraId="41528628" w14:textId="76D80545" w:rsidR="22DF84DA" w:rsidRPr="00FC5B6A" w:rsidRDefault="22DF84DA" w:rsidP="22DF84DA">
            <w:pPr>
              <w:rPr>
                <w:rFonts w:ascii="Calibri" w:eastAsia="Calibri" w:hAnsi="Calibri" w:cs="Calibri"/>
              </w:rPr>
            </w:pPr>
            <w:r w:rsidRPr="00FC5B6A">
              <w:rPr>
                <w:rFonts w:ascii="Calibri" w:eastAsia="Calibri" w:hAnsi="Calibri" w:cs="Calibri"/>
              </w:rPr>
              <w:lastRenderedPageBreak/>
              <w:t>Tipo C</w:t>
            </w:r>
          </w:p>
        </w:tc>
        <w:tc>
          <w:tcPr>
            <w:tcW w:w="4418" w:type="dxa"/>
          </w:tcPr>
          <w:p w14:paraId="77C56FD5" w14:textId="7BB18E3B" w:rsidR="22DF84DA" w:rsidRPr="00FC5B6A" w:rsidRDefault="22DF84DA" w:rsidP="1A24BF23">
            <w:pPr>
              <w:jc w:val="right"/>
              <w:rPr>
                <w:rFonts w:ascii="Calibri" w:eastAsia="Calibri" w:hAnsi="Calibri" w:cs="Calibri"/>
              </w:rPr>
            </w:pPr>
            <w:r w:rsidRPr="00FC5B6A">
              <w:rPr>
                <w:rFonts w:ascii="Calibri" w:eastAsia="Calibri" w:hAnsi="Calibri" w:cs="Calibri"/>
              </w:rPr>
              <w:t>78.262,09</w:t>
            </w:r>
          </w:p>
        </w:tc>
      </w:tr>
    </w:tbl>
    <w:p w14:paraId="5CA3846B" w14:textId="484AD461" w:rsidR="0A141EBB" w:rsidRPr="00FC5B6A" w:rsidRDefault="0A141EBB" w:rsidP="1A24BF23"/>
    <w:p w14:paraId="134CDAD2" w14:textId="3D29C019" w:rsidR="0A141EBB" w:rsidRPr="00FC5B6A" w:rsidRDefault="0A141EBB"/>
    <w:p w14:paraId="32F0F47C" w14:textId="614EAD78" w:rsidR="22DF84DA" w:rsidRPr="00FC5B6A" w:rsidRDefault="22DF84DA" w:rsidP="1A24BF23">
      <w:pPr>
        <w:pStyle w:val="NormalWeb"/>
      </w:pPr>
      <w:r w:rsidRPr="00FC5B6A">
        <w:rPr>
          <w:noProof/>
        </w:rPr>
        <w:drawing>
          <wp:inline distT="0" distB="0" distL="0" distR="0" wp14:anchorId="729C166F" wp14:editId="079C12CF">
            <wp:extent cx="3505168" cy="4959350"/>
            <wp:effectExtent l="0" t="0" r="635" b="0"/>
            <wp:docPr id="72106525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065253" name=""/>
                    <pic:cNvPicPr/>
                  </pic:nvPicPr>
                  <pic:blipFill>
                    <a:blip r:embed="rId10" cstate="email">
                      <a:extLst>
                        <a:ext uri="{28A0092B-C50C-407E-A947-70E740481C1C}">
                          <a14:useLocalDpi xmlns:a14="http://schemas.microsoft.com/office/drawing/2010/main"/>
                        </a:ext>
                      </a:extLst>
                    </a:blip>
                    <a:stretch>
                      <a:fillRect/>
                    </a:stretch>
                  </pic:blipFill>
                  <pic:spPr>
                    <a:xfrm>
                      <a:off x="0" y="0"/>
                      <a:ext cx="3505168" cy="4959350"/>
                    </a:xfrm>
                    <a:prstGeom prst="rect">
                      <a:avLst/>
                    </a:prstGeom>
                  </pic:spPr>
                </pic:pic>
              </a:graphicData>
            </a:graphic>
          </wp:inline>
        </w:drawing>
      </w:r>
    </w:p>
    <w:p w14:paraId="29971BA9" w14:textId="4560D30E" w:rsidR="22DF84DA" w:rsidRPr="00FC5B6A" w:rsidRDefault="22DF84DA" w:rsidP="1A24BF23">
      <w:pPr>
        <w:pStyle w:val="NormalWeb"/>
        <w:jc w:val="both"/>
        <w:rPr>
          <w:rFonts w:asciiTheme="minorHAnsi" w:hAnsiTheme="minorHAnsi" w:cstheme="minorBidi"/>
          <w:sz w:val="22"/>
          <w:szCs w:val="22"/>
        </w:rPr>
      </w:pPr>
    </w:p>
    <w:p w14:paraId="100BFB3A" w14:textId="4EA6E1CA" w:rsidR="1A24BF23" w:rsidRPr="00FC5B6A" w:rsidRDefault="22DF84DA" w:rsidP="1A24BF23">
      <w:pPr>
        <w:pStyle w:val="NormalWeb"/>
        <w:jc w:val="both"/>
        <w:rPr>
          <w:rFonts w:asciiTheme="minorHAnsi" w:hAnsiTheme="minorHAnsi" w:cstheme="minorBidi"/>
          <w:sz w:val="22"/>
          <w:szCs w:val="22"/>
        </w:rPr>
      </w:pPr>
      <w:r w:rsidRPr="00FC5B6A">
        <w:rPr>
          <w:rFonts w:asciiTheme="minorHAnsi" w:hAnsiTheme="minorHAnsi" w:cstheme="minorBidi"/>
          <w:sz w:val="22"/>
          <w:szCs w:val="22"/>
        </w:rPr>
        <w:t>Esta área está comprendida por 221.471 hectáreas que se ubican en los departamentos de Boyacá</w:t>
      </w:r>
      <w:r w:rsidRPr="000C325D">
        <w:rPr>
          <w:rFonts w:asciiTheme="minorHAnsi" w:hAnsiTheme="minorHAnsi" w:cstheme="minorBidi"/>
          <w:sz w:val="22"/>
          <w:szCs w:val="22"/>
          <w:vertAlign w:val="superscript"/>
        </w:rPr>
        <w:footnoteReference w:id="10"/>
      </w:r>
      <w:r w:rsidRPr="00FC5B6A">
        <w:rPr>
          <w:rFonts w:asciiTheme="minorHAnsi" w:hAnsiTheme="minorHAnsi" w:cstheme="minorBidi"/>
          <w:sz w:val="22"/>
          <w:szCs w:val="22"/>
        </w:rPr>
        <w:t>, Arauca</w:t>
      </w:r>
      <w:r w:rsidRPr="000C325D">
        <w:rPr>
          <w:rFonts w:asciiTheme="minorHAnsi" w:hAnsiTheme="minorHAnsi" w:cstheme="minorBidi"/>
          <w:sz w:val="22"/>
          <w:szCs w:val="22"/>
          <w:vertAlign w:val="superscript"/>
        </w:rPr>
        <w:footnoteReference w:id="11"/>
      </w:r>
      <w:r w:rsidRPr="00FC5B6A">
        <w:rPr>
          <w:rFonts w:asciiTheme="minorHAnsi" w:hAnsiTheme="minorHAnsi" w:cstheme="minorBidi"/>
          <w:sz w:val="22"/>
          <w:szCs w:val="22"/>
        </w:rPr>
        <w:t>, Norte Santander</w:t>
      </w:r>
      <w:r w:rsidRPr="000C325D">
        <w:rPr>
          <w:rFonts w:asciiTheme="minorHAnsi" w:hAnsiTheme="minorHAnsi" w:cstheme="minorBidi"/>
          <w:sz w:val="22"/>
          <w:szCs w:val="22"/>
          <w:vertAlign w:val="superscript"/>
        </w:rPr>
        <w:footnoteReference w:id="12"/>
      </w:r>
      <w:r w:rsidRPr="00FC5B6A">
        <w:rPr>
          <w:rFonts w:asciiTheme="minorHAnsi" w:hAnsiTheme="minorHAnsi" w:cstheme="minorBidi"/>
          <w:sz w:val="22"/>
          <w:szCs w:val="22"/>
        </w:rPr>
        <w:t xml:space="preserve"> y Santander</w:t>
      </w:r>
      <w:r w:rsidRPr="000C325D">
        <w:rPr>
          <w:rFonts w:asciiTheme="minorHAnsi" w:hAnsiTheme="minorHAnsi" w:cstheme="minorBidi"/>
          <w:sz w:val="22"/>
          <w:szCs w:val="22"/>
          <w:vertAlign w:val="superscript"/>
        </w:rPr>
        <w:footnoteReference w:id="13"/>
      </w:r>
      <w:r w:rsidRPr="00FC5B6A">
        <w:rPr>
          <w:rFonts w:asciiTheme="minorHAnsi" w:hAnsiTheme="minorHAnsi" w:cstheme="minorBidi"/>
          <w:sz w:val="22"/>
          <w:szCs w:val="22"/>
        </w:rPr>
        <w:t>.</w:t>
      </w:r>
    </w:p>
    <w:p w14:paraId="549E3732" w14:textId="7283DE5D" w:rsidR="00345A0A" w:rsidRPr="00FC5B6A" w:rsidRDefault="00345A0A" w:rsidP="1A24BF23">
      <w:pPr>
        <w:pStyle w:val="NormalWeb"/>
        <w:jc w:val="both"/>
        <w:rPr>
          <w:rFonts w:asciiTheme="minorHAnsi" w:hAnsiTheme="minorHAnsi" w:cstheme="minorBidi"/>
          <w:sz w:val="22"/>
          <w:szCs w:val="22"/>
        </w:rPr>
      </w:pPr>
      <w:r w:rsidRPr="00FC5B6A">
        <w:rPr>
          <w:rFonts w:asciiTheme="minorHAnsi" w:hAnsiTheme="minorHAnsi" w:cstheme="minorBidi"/>
          <w:sz w:val="22"/>
          <w:szCs w:val="22"/>
        </w:rPr>
        <w:lastRenderedPageBreak/>
        <w:t xml:space="preserve">Desde el punto de vista demográfico, la región presenta </w:t>
      </w:r>
      <w:r w:rsidRPr="00FC5B6A">
        <w:rPr>
          <w:rStyle w:val="Fuerte"/>
          <w:rFonts w:asciiTheme="minorHAnsi" w:hAnsiTheme="minorHAnsi" w:cstheme="minorBidi"/>
          <w:sz w:val="22"/>
          <w:szCs w:val="22"/>
        </w:rPr>
        <w:t>baja densidad poblacional</w:t>
      </w:r>
      <w:r w:rsidRPr="00FC5B6A">
        <w:rPr>
          <w:rFonts w:asciiTheme="minorHAnsi" w:hAnsiTheme="minorHAnsi" w:cstheme="minorBidi"/>
          <w:sz w:val="22"/>
          <w:szCs w:val="22"/>
        </w:rPr>
        <w:t xml:space="preserve"> y un patrón de dispersión característico de las áreas de alta montaña. Los municipios más representativos como El Cocuy y Güicán cuentan con poblaciones menores a 6.000 habitantes cada uno, con altas tasas de ruralidad y dependencia directa de la tierra</w:t>
      </w:r>
      <w:r w:rsidRPr="00FC5B6A">
        <w:rPr>
          <w:rStyle w:val="Refdenotaalpie"/>
          <w:rFonts w:asciiTheme="minorHAnsi" w:hAnsiTheme="minorHAnsi" w:cstheme="minorBidi"/>
          <w:sz w:val="22"/>
          <w:szCs w:val="22"/>
        </w:rPr>
        <w:footnoteReference w:id="14"/>
      </w:r>
      <w:r w:rsidRPr="00FC5B6A">
        <w:rPr>
          <w:rFonts w:asciiTheme="minorHAnsi" w:hAnsiTheme="minorHAnsi" w:cstheme="minorBidi"/>
          <w:sz w:val="22"/>
          <w:szCs w:val="22"/>
        </w:rPr>
        <w:t>. La migración hacia centros urbanos intermedios es una constante, producto de las limitadas oportunidades económicas.</w:t>
      </w:r>
    </w:p>
    <w:p w14:paraId="54B853AD" w14:textId="7A19132B" w:rsidR="00345A0A" w:rsidRPr="00FC5B6A" w:rsidRDefault="00345A0A" w:rsidP="1A24BF23">
      <w:pPr>
        <w:pStyle w:val="NormalWeb"/>
        <w:jc w:val="both"/>
        <w:rPr>
          <w:rFonts w:asciiTheme="minorHAnsi" w:hAnsiTheme="minorHAnsi" w:cstheme="minorBidi"/>
          <w:sz w:val="22"/>
          <w:szCs w:val="22"/>
        </w:rPr>
      </w:pPr>
      <w:r w:rsidRPr="00FC5B6A">
        <w:rPr>
          <w:rFonts w:asciiTheme="minorHAnsi" w:hAnsiTheme="minorHAnsi" w:cstheme="minorBidi"/>
          <w:sz w:val="22"/>
          <w:szCs w:val="22"/>
        </w:rPr>
        <w:t xml:space="preserve">La </w:t>
      </w:r>
      <w:r w:rsidRPr="00FC5B6A">
        <w:rPr>
          <w:rStyle w:val="Fuerte"/>
          <w:rFonts w:asciiTheme="minorHAnsi" w:hAnsiTheme="minorHAnsi" w:cstheme="minorBidi"/>
          <w:sz w:val="22"/>
          <w:szCs w:val="22"/>
        </w:rPr>
        <w:t>estructura agraria</w:t>
      </w:r>
      <w:r w:rsidRPr="00FC5B6A">
        <w:rPr>
          <w:rFonts w:asciiTheme="minorHAnsi" w:hAnsiTheme="minorHAnsi" w:cstheme="minorBidi"/>
          <w:sz w:val="22"/>
          <w:szCs w:val="22"/>
        </w:rPr>
        <w:t xml:space="preserve"> está conformada principalmente por </w:t>
      </w:r>
      <w:r w:rsidRPr="00FC5B6A">
        <w:rPr>
          <w:rStyle w:val="Fuerte"/>
          <w:rFonts w:asciiTheme="minorHAnsi" w:hAnsiTheme="minorHAnsi" w:cstheme="minorBidi"/>
          <w:sz w:val="22"/>
          <w:szCs w:val="22"/>
        </w:rPr>
        <w:t>minifundios campesinos</w:t>
      </w:r>
      <w:r w:rsidRPr="00FC5B6A">
        <w:rPr>
          <w:rFonts w:asciiTheme="minorHAnsi" w:hAnsiTheme="minorHAnsi" w:cstheme="minorBidi"/>
          <w:sz w:val="22"/>
          <w:szCs w:val="22"/>
        </w:rPr>
        <w:t xml:space="preserve"> con superficies que oscilan entre 2 y 10 hectáreas. Estas parcelas se dedican al cultivo de </w:t>
      </w:r>
      <w:r w:rsidRPr="00FC5B6A">
        <w:rPr>
          <w:rStyle w:val="Fuerte"/>
          <w:rFonts w:asciiTheme="minorHAnsi" w:hAnsiTheme="minorHAnsi" w:cstheme="minorBidi"/>
          <w:sz w:val="22"/>
          <w:szCs w:val="22"/>
        </w:rPr>
        <w:t>papa, cebada, trigo, maíz y hortalizas</w:t>
      </w:r>
      <w:r w:rsidRPr="00FC5B6A">
        <w:rPr>
          <w:rFonts w:asciiTheme="minorHAnsi" w:hAnsiTheme="minorHAnsi" w:cstheme="minorBidi"/>
          <w:sz w:val="22"/>
          <w:szCs w:val="22"/>
        </w:rPr>
        <w:t xml:space="preserve">, además de potreros destinados al pastoreo de ganado bovino, ovino y caprino. La producción combina la lógica del </w:t>
      </w:r>
      <w:r w:rsidRPr="00FC5B6A">
        <w:rPr>
          <w:rStyle w:val="Fuerte"/>
          <w:rFonts w:asciiTheme="minorHAnsi" w:hAnsiTheme="minorHAnsi" w:cstheme="minorBidi"/>
          <w:sz w:val="22"/>
          <w:szCs w:val="22"/>
        </w:rPr>
        <w:t>autoconsumo</w:t>
      </w:r>
      <w:r w:rsidRPr="00FC5B6A">
        <w:rPr>
          <w:rFonts w:asciiTheme="minorHAnsi" w:hAnsiTheme="minorHAnsi" w:cstheme="minorBidi"/>
          <w:sz w:val="22"/>
          <w:szCs w:val="22"/>
        </w:rPr>
        <w:t xml:space="preserve"> con la venta en mercados locales de Chiscas, Güicán y El Cocuy, aunque con escasa inserción en cadenas de valor regionales</w:t>
      </w:r>
      <w:r w:rsidRPr="00FC5B6A">
        <w:rPr>
          <w:rStyle w:val="Refdenotaalpie"/>
          <w:rFonts w:asciiTheme="minorHAnsi" w:hAnsiTheme="minorHAnsi" w:cstheme="minorBidi"/>
          <w:sz w:val="22"/>
          <w:szCs w:val="22"/>
        </w:rPr>
        <w:footnoteReference w:id="15"/>
      </w:r>
      <w:r w:rsidRPr="00FC5B6A">
        <w:rPr>
          <w:rFonts w:asciiTheme="minorHAnsi" w:hAnsiTheme="minorHAnsi" w:cstheme="minorBidi"/>
          <w:sz w:val="22"/>
          <w:szCs w:val="22"/>
        </w:rPr>
        <w:t>.</w:t>
      </w:r>
    </w:p>
    <w:p w14:paraId="3E6EFDDF" w14:textId="7A98A796" w:rsidR="00345A0A" w:rsidRPr="00FC5B6A" w:rsidRDefault="00345A0A" w:rsidP="1A24BF23">
      <w:pPr>
        <w:pStyle w:val="NormalWeb"/>
        <w:jc w:val="both"/>
        <w:rPr>
          <w:rFonts w:asciiTheme="minorHAnsi" w:hAnsiTheme="minorHAnsi" w:cstheme="minorBidi"/>
          <w:sz w:val="22"/>
          <w:szCs w:val="22"/>
        </w:rPr>
      </w:pPr>
      <w:r w:rsidRPr="00FC5B6A">
        <w:rPr>
          <w:rFonts w:asciiTheme="minorHAnsi" w:hAnsiTheme="minorHAnsi" w:cstheme="minorBidi"/>
          <w:sz w:val="22"/>
          <w:szCs w:val="22"/>
        </w:rPr>
        <w:t xml:space="preserve">En términos productivos, la economía campesina se caracteriza por </w:t>
      </w:r>
      <w:r w:rsidRPr="00FC5B6A">
        <w:rPr>
          <w:rStyle w:val="Fuerte"/>
          <w:rFonts w:asciiTheme="minorHAnsi" w:hAnsiTheme="minorHAnsi" w:cstheme="minorBidi"/>
          <w:sz w:val="22"/>
          <w:szCs w:val="22"/>
        </w:rPr>
        <w:t>bajos niveles de tecnificación</w:t>
      </w:r>
      <w:r w:rsidRPr="00FC5B6A">
        <w:rPr>
          <w:rFonts w:asciiTheme="minorHAnsi" w:hAnsiTheme="minorHAnsi" w:cstheme="minorBidi"/>
          <w:sz w:val="22"/>
          <w:szCs w:val="22"/>
        </w:rPr>
        <w:t xml:space="preserve"> y limitada asistencia técnica. La labranza intensiva, la rotación corta de cultivos y el pastoreo extensivo han generado procesos de </w:t>
      </w:r>
      <w:r w:rsidRPr="00FC5B6A">
        <w:rPr>
          <w:rStyle w:val="Fuerte"/>
          <w:rFonts w:asciiTheme="minorHAnsi" w:hAnsiTheme="minorHAnsi" w:cstheme="minorBidi"/>
          <w:sz w:val="22"/>
          <w:szCs w:val="22"/>
        </w:rPr>
        <w:t>degradación de suelos, compactación y pérdida de cobertura vegetal</w:t>
      </w:r>
      <w:r w:rsidRPr="00FC5B6A">
        <w:rPr>
          <w:rFonts w:asciiTheme="minorHAnsi" w:hAnsiTheme="minorHAnsi" w:cstheme="minorBidi"/>
          <w:sz w:val="22"/>
          <w:szCs w:val="22"/>
        </w:rPr>
        <w:t xml:space="preserve"> en áreas sensibles</w:t>
      </w:r>
      <w:r w:rsidR="00346949" w:rsidRPr="00FC5B6A">
        <w:rPr>
          <w:rStyle w:val="Refdenotaalpie"/>
          <w:rFonts w:asciiTheme="minorHAnsi" w:hAnsiTheme="minorHAnsi" w:cstheme="minorBidi"/>
          <w:sz w:val="22"/>
          <w:szCs w:val="22"/>
        </w:rPr>
        <w:footnoteReference w:id="16"/>
      </w:r>
      <w:r w:rsidR="69EF72B7" w:rsidRPr="00FC5B6A">
        <w:rPr>
          <w:rFonts w:asciiTheme="minorHAnsi" w:hAnsiTheme="minorHAnsi" w:cstheme="minorBidi"/>
          <w:sz w:val="22"/>
          <w:szCs w:val="22"/>
        </w:rPr>
        <w:t>.</w:t>
      </w:r>
    </w:p>
    <w:p w14:paraId="12217473" w14:textId="7F876B17" w:rsidR="00345A0A" w:rsidRPr="00FC5B6A" w:rsidRDefault="00345A0A" w:rsidP="1A24BF23">
      <w:pPr>
        <w:pStyle w:val="NormalWeb"/>
        <w:jc w:val="both"/>
        <w:rPr>
          <w:rFonts w:asciiTheme="minorHAnsi" w:hAnsiTheme="minorHAnsi" w:cstheme="minorBidi"/>
          <w:sz w:val="22"/>
          <w:szCs w:val="22"/>
        </w:rPr>
      </w:pPr>
      <w:r w:rsidRPr="00FC5B6A">
        <w:rPr>
          <w:rFonts w:asciiTheme="minorHAnsi" w:hAnsiTheme="minorHAnsi" w:cstheme="minorBidi"/>
          <w:sz w:val="22"/>
          <w:szCs w:val="22"/>
        </w:rPr>
        <w:t xml:space="preserve">En el plano de las </w:t>
      </w:r>
      <w:r w:rsidRPr="00FC5B6A">
        <w:rPr>
          <w:rStyle w:val="Fuerte"/>
          <w:rFonts w:asciiTheme="minorHAnsi" w:hAnsiTheme="minorHAnsi" w:cstheme="minorBidi"/>
          <w:sz w:val="22"/>
          <w:szCs w:val="22"/>
        </w:rPr>
        <w:t>dinámicas territoriales</w:t>
      </w:r>
      <w:r w:rsidRPr="00FC5B6A">
        <w:rPr>
          <w:rFonts w:asciiTheme="minorHAnsi" w:hAnsiTheme="minorHAnsi" w:cstheme="minorBidi"/>
          <w:sz w:val="22"/>
          <w:szCs w:val="22"/>
        </w:rPr>
        <w:t xml:space="preserve">, la presencia del Parque Nacional Natural El Cocuy ha promovido el crecimiento del </w:t>
      </w:r>
      <w:r w:rsidRPr="00FC5B6A">
        <w:rPr>
          <w:rStyle w:val="Fuerte"/>
          <w:rFonts w:asciiTheme="minorHAnsi" w:hAnsiTheme="minorHAnsi" w:cstheme="minorBidi"/>
          <w:sz w:val="22"/>
          <w:szCs w:val="22"/>
        </w:rPr>
        <w:t>turismo de alta montaña y ecoturismo comunitario</w:t>
      </w:r>
      <w:r w:rsidRPr="00FC5B6A">
        <w:rPr>
          <w:rFonts w:asciiTheme="minorHAnsi" w:hAnsiTheme="minorHAnsi" w:cstheme="minorBidi"/>
          <w:sz w:val="22"/>
          <w:szCs w:val="22"/>
        </w:rPr>
        <w:t>, que se configura como una fuente complementaria de ingresos para las familias campesinas. Sin embargo, esta actividad también genera conflictos por la regulación de accesos, cargas de visitantes y distribución de beneficios económicos entre comunidades y autoridades ambientales</w:t>
      </w:r>
      <w:r w:rsidR="00346949" w:rsidRPr="00FC5B6A">
        <w:rPr>
          <w:rStyle w:val="Refdenotaalpie"/>
          <w:rFonts w:asciiTheme="minorHAnsi" w:hAnsiTheme="minorHAnsi" w:cstheme="minorBidi"/>
          <w:sz w:val="22"/>
          <w:szCs w:val="22"/>
        </w:rPr>
        <w:footnoteReference w:id="17"/>
      </w:r>
      <w:r w:rsidRPr="00FC5B6A">
        <w:rPr>
          <w:rFonts w:asciiTheme="minorHAnsi" w:hAnsiTheme="minorHAnsi" w:cstheme="minorBidi"/>
          <w:sz w:val="22"/>
          <w:szCs w:val="22"/>
        </w:rPr>
        <w:t>.</w:t>
      </w:r>
    </w:p>
    <w:p w14:paraId="603BE316" w14:textId="201E3976" w:rsidR="00345A0A" w:rsidRPr="00FC5B6A" w:rsidRDefault="00345A0A" w:rsidP="1A24BF23">
      <w:pPr>
        <w:pStyle w:val="NormalWeb"/>
        <w:jc w:val="both"/>
        <w:rPr>
          <w:rFonts w:asciiTheme="minorHAnsi" w:hAnsiTheme="minorHAnsi" w:cstheme="minorBidi"/>
          <w:sz w:val="22"/>
          <w:szCs w:val="22"/>
        </w:rPr>
      </w:pPr>
      <w:r w:rsidRPr="00FC5B6A">
        <w:rPr>
          <w:rFonts w:asciiTheme="minorHAnsi" w:hAnsiTheme="minorHAnsi" w:cstheme="minorBidi"/>
          <w:sz w:val="22"/>
          <w:szCs w:val="22"/>
        </w:rPr>
        <w:t xml:space="preserve">La economía campesina de la </w:t>
      </w:r>
      <w:proofErr w:type="gramStart"/>
      <w:r w:rsidRPr="00FC5B6A">
        <w:rPr>
          <w:rFonts w:asciiTheme="minorHAnsi" w:hAnsiTheme="minorHAnsi" w:cstheme="minorBidi"/>
          <w:sz w:val="22"/>
          <w:szCs w:val="22"/>
        </w:rPr>
        <w:t>zona,</w:t>
      </w:r>
      <w:proofErr w:type="gramEnd"/>
      <w:r w:rsidRPr="00FC5B6A">
        <w:rPr>
          <w:rFonts w:asciiTheme="minorHAnsi" w:hAnsiTheme="minorHAnsi" w:cstheme="minorBidi"/>
          <w:sz w:val="22"/>
          <w:szCs w:val="22"/>
        </w:rPr>
        <w:t xml:space="preserve"> cumple un rol central en la </w:t>
      </w:r>
      <w:r w:rsidRPr="00FC5B6A">
        <w:rPr>
          <w:rStyle w:val="Fuerte"/>
          <w:rFonts w:asciiTheme="minorHAnsi" w:hAnsiTheme="minorHAnsi" w:cstheme="minorBidi"/>
          <w:sz w:val="22"/>
          <w:szCs w:val="22"/>
        </w:rPr>
        <w:t>producción de alimentos básicos para el mercado regional</w:t>
      </w:r>
      <w:r w:rsidRPr="00FC5B6A">
        <w:rPr>
          <w:rFonts w:asciiTheme="minorHAnsi" w:hAnsiTheme="minorHAnsi" w:cstheme="minorBidi"/>
          <w:sz w:val="22"/>
          <w:szCs w:val="22"/>
        </w:rPr>
        <w:t xml:space="preserve">, además de conservar prácticas culturales tradicionales vinculadas con el uso de la tierra y la biodiversidad. En este sentido, el campesinado del Cocuy ha sido reconocido como actor clave en la </w:t>
      </w:r>
      <w:r w:rsidRPr="00FC5B6A">
        <w:rPr>
          <w:rStyle w:val="Fuerte"/>
          <w:rFonts w:asciiTheme="minorHAnsi" w:hAnsiTheme="minorHAnsi" w:cstheme="minorBidi"/>
          <w:sz w:val="22"/>
          <w:szCs w:val="22"/>
        </w:rPr>
        <w:t>gestión integral del páramo</w:t>
      </w:r>
      <w:r w:rsidRPr="00FC5B6A">
        <w:rPr>
          <w:rFonts w:asciiTheme="minorHAnsi" w:hAnsiTheme="minorHAnsi" w:cstheme="minorBidi"/>
          <w:sz w:val="22"/>
          <w:szCs w:val="22"/>
        </w:rPr>
        <w:t>, en línea con el Acto Legislativo 01 de 2023 que lo reconoce como sujeto de especial protección constitucional</w:t>
      </w:r>
      <w:r w:rsidR="00935B5D" w:rsidRPr="00FC5B6A">
        <w:rPr>
          <w:rStyle w:val="Refdenotaalpie"/>
          <w:rFonts w:asciiTheme="minorHAnsi" w:hAnsiTheme="minorHAnsi" w:cstheme="minorBidi"/>
          <w:sz w:val="22"/>
          <w:szCs w:val="22"/>
        </w:rPr>
        <w:footnoteReference w:id="18"/>
      </w:r>
      <w:r w:rsidRPr="00FC5B6A">
        <w:rPr>
          <w:rFonts w:asciiTheme="minorHAnsi" w:hAnsiTheme="minorHAnsi" w:cstheme="minorBidi"/>
          <w:sz w:val="22"/>
          <w:szCs w:val="22"/>
        </w:rPr>
        <w:t>.</w:t>
      </w:r>
    </w:p>
    <w:p w14:paraId="2FB4C810" w14:textId="0030C23E" w:rsidR="1A24BF23" w:rsidRPr="00FC5B6A" w:rsidRDefault="1A24BF23" w:rsidP="1A24BF23">
      <w:pPr>
        <w:pStyle w:val="NormalWeb"/>
        <w:jc w:val="both"/>
        <w:rPr>
          <w:rFonts w:asciiTheme="minorHAnsi" w:hAnsiTheme="minorHAnsi" w:cstheme="minorBidi"/>
          <w:sz w:val="22"/>
          <w:szCs w:val="22"/>
        </w:rPr>
      </w:pPr>
    </w:p>
    <w:p w14:paraId="0DA995A0" w14:textId="68A4A84A" w:rsidR="1A24BF23" w:rsidRPr="00FC5B6A" w:rsidRDefault="008C340C" w:rsidP="1A24BF23">
      <w:pPr>
        <w:pStyle w:val="NormalWeb"/>
        <w:jc w:val="both"/>
        <w:rPr>
          <w:rFonts w:asciiTheme="minorHAnsi" w:hAnsiTheme="minorHAnsi" w:cstheme="minorBidi"/>
          <w:sz w:val="22"/>
          <w:szCs w:val="22"/>
        </w:rPr>
      </w:pPr>
      <w:r w:rsidRPr="00FC5B6A">
        <w:rPr>
          <w:rFonts w:asciiTheme="minorHAnsi" w:hAnsiTheme="minorHAnsi" w:cstheme="minorBidi"/>
          <w:sz w:val="22"/>
          <w:szCs w:val="22"/>
        </w:rPr>
        <w:t>De acuerdo con las Evaluaciones Agropecuarias Municipales (EVA)</w:t>
      </w:r>
      <w:r w:rsidR="00637C91" w:rsidRPr="00FC5B6A">
        <w:rPr>
          <w:rStyle w:val="Refdenotaalpie"/>
          <w:rFonts w:asciiTheme="minorHAnsi" w:hAnsiTheme="minorHAnsi" w:cstheme="minorBidi"/>
          <w:sz w:val="22"/>
          <w:szCs w:val="22"/>
        </w:rPr>
        <w:footnoteReference w:id="19"/>
      </w:r>
      <w:r w:rsidR="00A318E4" w:rsidRPr="00FC5B6A">
        <w:rPr>
          <w:rFonts w:asciiTheme="minorHAnsi" w:hAnsiTheme="minorHAnsi" w:cstheme="minorBidi"/>
          <w:sz w:val="22"/>
          <w:szCs w:val="22"/>
        </w:rPr>
        <w:t xml:space="preserve"> a diciembre de 2024</w:t>
      </w:r>
      <w:r w:rsidR="00637C91" w:rsidRPr="00FC5B6A">
        <w:rPr>
          <w:rFonts w:asciiTheme="minorHAnsi" w:hAnsiTheme="minorHAnsi" w:cstheme="minorBidi"/>
          <w:sz w:val="22"/>
          <w:szCs w:val="22"/>
        </w:rPr>
        <w:t xml:space="preserve">, los municipios de El Cocuy, El Espino, Güicán de la Sierra y </w:t>
      </w:r>
      <w:proofErr w:type="spellStart"/>
      <w:r w:rsidR="00637C91" w:rsidRPr="00FC5B6A">
        <w:rPr>
          <w:rFonts w:asciiTheme="minorHAnsi" w:hAnsiTheme="minorHAnsi" w:cstheme="minorBidi"/>
          <w:sz w:val="22"/>
          <w:szCs w:val="22"/>
        </w:rPr>
        <w:t>Panqueba</w:t>
      </w:r>
      <w:proofErr w:type="spellEnd"/>
      <w:r w:rsidR="00637C91" w:rsidRPr="00FC5B6A">
        <w:rPr>
          <w:rFonts w:asciiTheme="minorHAnsi" w:hAnsiTheme="minorHAnsi" w:cstheme="minorBidi"/>
          <w:sz w:val="22"/>
          <w:szCs w:val="22"/>
        </w:rPr>
        <w:t xml:space="preserve"> cuenta</w:t>
      </w:r>
      <w:r w:rsidR="00A16420" w:rsidRPr="00FC5B6A">
        <w:rPr>
          <w:rFonts w:asciiTheme="minorHAnsi" w:hAnsiTheme="minorHAnsi" w:cstheme="minorBidi"/>
          <w:sz w:val="22"/>
          <w:szCs w:val="22"/>
        </w:rPr>
        <w:t>n</w:t>
      </w:r>
      <w:r w:rsidR="00637C91" w:rsidRPr="00FC5B6A">
        <w:rPr>
          <w:rFonts w:asciiTheme="minorHAnsi" w:hAnsiTheme="minorHAnsi" w:cstheme="minorBidi"/>
          <w:sz w:val="22"/>
          <w:szCs w:val="22"/>
        </w:rPr>
        <w:t xml:space="preserve"> en su jurisdicción con cultivos transitorios y permanentes</w:t>
      </w:r>
      <w:r w:rsidR="00A318E4" w:rsidRPr="00FC5B6A">
        <w:rPr>
          <w:rFonts w:asciiTheme="minorHAnsi" w:hAnsiTheme="minorHAnsi" w:cstheme="minorBidi"/>
          <w:sz w:val="22"/>
          <w:szCs w:val="22"/>
        </w:rPr>
        <w:t>, dentro de los cuales están cultivos de cereales</w:t>
      </w:r>
      <w:r w:rsidR="00A16420" w:rsidRPr="00FC5B6A">
        <w:rPr>
          <w:rFonts w:asciiTheme="minorHAnsi" w:hAnsiTheme="minorHAnsi" w:cstheme="minorBidi"/>
          <w:sz w:val="22"/>
          <w:szCs w:val="22"/>
        </w:rPr>
        <w:t xml:space="preserve"> (maíz y trigo)</w:t>
      </w:r>
      <w:r w:rsidR="00A318E4" w:rsidRPr="00FC5B6A">
        <w:rPr>
          <w:rFonts w:asciiTheme="minorHAnsi" w:hAnsiTheme="minorHAnsi" w:cstheme="minorBidi"/>
          <w:sz w:val="22"/>
          <w:szCs w:val="22"/>
        </w:rPr>
        <w:t>, frutales</w:t>
      </w:r>
      <w:r w:rsidR="00A16420" w:rsidRPr="00FC5B6A">
        <w:rPr>
          <w:rFonts w:asciiTheme="minorHAnsi" w:hAnsiTheme="minorHAnsi" w:cstheme="minorBidi"/>
          <w:sz w:val="22"/>
          <w:szCs w:val="22"/>
        </w:rPr>
        <w:t xml:space="preserve"> (aguacate, chirimoya, durazno, </w:t>
      </w:r>
      <w:proofErr w:type="spellStart"/>
      <w:r w:rsidR="00A16420" w:rsidRPr="00FC5B6A">
        <w:rPr>
          <w:rFonts w:asciiTheme="minorHAnsi" w:hAnsiTheme="minorHAnsi" w:cstheme="minorBidi"/>
          <w:sz w:val="22"/>
          <w:szCs w:val="22"/>
        </w:rPr>
        <w:t>gulupa</w:t>
      </w:r>
      <w:proofErr w:type="spellEnd"/>
      <w:r w:rsidR="00A16420" w:rsidRPr="00FC5B6A">
        <w:rPr>
          <w:rFonts w:asciiTheme="minorHAnsi" w:hAnsiTheme="minorHAnsi" w:cstheme="minorBidi"/>
          <w:sz w:val="22"/>
          <w:szCs w:val="22"/>
        </w:rPr>
        <w:t xml:space="preserve">, granadilla, limón </w:t>
      </w:r>
      <w:proofErr w:type="spellStart"/>
      <w:r w:rsidR="00A16420" w:rsidRPr="00FC5B6A">
        <w:rPr>
          <w:rFonts w:asciiTheme="minorHAnsi" w:hAnsiTheme="minorHAnsi" w:cstheme="minorBidi"/>
          <w:sz w:val="22"/>
          <w:szCs w:val="22"/>
        </w:rPr>
        <w:t>tahití</w:t>
      </w:r>
      <w:proofErr w:type="spellEnd"/>
      <w:r w:rsidR="00A16420" w:rsidRPr="00FC5B6A">
        <w:rPr>
          <w:rFonts w:asciiTheme="minorHAnsi" w:hAnsiTheme="minorHAnsi" w:cstheme="minorBidi"/>
          <w:sz w:val="22"/>
          <w:szCs w:val="22"/>
        </w:rPr>
        <w:t>, lulo y mora)</w:t>
      </w:r>
      <w:r w:rsidR="00A318E4" w:rsidRPr="00FC5B6A">
        <w:rPr>
          <w:rFonts w:asciiTheme="minorHAnsi" w:hAnsiTheme="minorHAnsi" w:cstheme="minorBidi"/>
          <w:sz w:val="22"/>
          <w:szCs w:val="22"/>
        </w:rPr>
        <w:t xml:space="preserve">, hortalizas </w:t>
      </w:r>
      <w:r w:rsidR="00A318E4" w:rsidRPr="00FC5B6A">
        <w:rPr>
          <w:rFonts w:asciiTheme="minorHAnsi" w:hAnsiTheme="minorHAnsi" w:cstheme="minorBidi"/>
          <w:sz w:val="22"/>
          <w:szCs w:val="22"/>
        </w:rPr>
        <w:lastRenderedPageBreak/>
        <w:t xml:space="preserve">(ahuyama, ajo, apio, cebolla, </w:t>
      </w:r>
      <w:r w:rsidR="00A16420" w:rsidRPr="00FC5B6A">
        <w:rPr>
          <w:rFonts w:asciiTheme="minorHAnsi" w:hAnsiTheme="minorHAnsi" w:cstheme="minorBidi"/>
          <w:sz w:val="22"/>
          <w:szCs w:val="22"/>
        </w:rPr>
        <w:t xml:space="preserve">lechuga, </w:t>
      </w:r>
      <w:r w:rsidR="00A318E4" w:rsidRPr="00FC5B6A">
        <w:rPr>
          <w:rFonts w:asciiTheme="minorHAnsi" w:hAnsiTheme="minorHAnsi" w:cstheme="minorBidi"/>
          <w:sz w:val="22"/>
          <w:szCs w:val="22"/>
        </w:rPr>
        <w:t>pimentón, tomate</w:t>
      </w:r>
      <w:r w:rsidR="00A16420" w:rsidRPr="00FC5B6A">
        <w:rPr>
          <w:rFonts w:asciiTheme="minorHAnsi" w:hAnsiTheme="minorHAnsi" w:cstheme="minorBidi"/>
          <w:sz w:val="22"/>
          <w:szCs w:val="22"/>
        </w:rPr>
        <w:t>)</w:t>
      </w:r>
      <w:r w:rsidR="00A318E4" w:rsidRPr="00FC5B6A">
        <w:rPr>
          <w:rFonts w:asciiTheme="minorHAnsi" w:hAnsiTheme="minorHAnsi" w:cstheme="minorBidi"/>
          <w:sz w:val="22"/>
          <w:szCs w:val="22"/>
        </w:rPr>
        <w:t>, leguminosas</w:t>
      </w:r>
      <w:r w:rsidR="00A16420" w:rsidRPr="00FC5B6A">
        <w:rPr>
          <w:rFonts w:asciiTheme="minorHAnsi" w:hAnsiTheme="minorHAnsi" w:cstheme="minorBidi"/>
          <w:sz w:val="22"/>
          <w:szCs w:val="22"/>
        </w:rPr>
        <w:t xml:space="preserve"> (arveja, fríjol y haba)</w:t>
      </w:r>
      <w:r w:rsidR="00A318E4" w:rsidRPr="00FC5B6A">
        <w:rPr>
          <w:rFonts w:asciiTheme="minorHAnsi" w:hAnsiTheme="minorHAnsi" w:cstheme="minorBidi"/>
          <w:sz w:val="22"/>
          <w:szCs w:val="22"/>
        </w:rPr>
        <w:t>, raíces y tubérculos</w:t>
      </w:r>
      <w:r w:rsidR="00E4725B" w:rsidRPr="00FC5B6A">
        <w:rPr>
          <w:rFonts w:asciiTheme="minorHAnsi" w:hAnsiTheme="minorHAnsi" w:cstheme="minorBidi"/>
          <w:sz w:val="22"/>
          <w:szCs w:val="22"/>
        </w:rPr>
        <w:t xml:space="preserve"> (papa de todas las variedades y papa criolla). Las áreas sembradas oscilan entre 2 y 230 hectáreas</w:t>
      </w:r>
      <w:r w:rsidR="00C65AC1" w:rsidRPr="00FC5B6A">
        <w:rPr>
          <w:rFonts w:asciiTheme="minorHAnsi" w:hAnsiTheme="minorHAnsi" w:cstheme="minorBidi"/>
          <w:sz w:val="22"/>
          <w:szCs w:val="22"/>
        </w:rPr>
        <w:t xml:space="preserve">, siendo este valor correspondiente a cultivos de papa. Con producciones que llegan a </w:t>
      </w:r>
      <w:proofErr w:type="gramStart"/>
      <w:r w:rsidR="00C65AC1" w:rsidRPr="00FC5B6A">
        <w:rPr>
          <w:rFonts w:asciiTheme="minorHAnsi" w:hAnsiTheme="minorHAnsi" w:cstheme="minorBidi"/>
          <w:sz w:val="22"/>
          <w:szCs w:val="22"/>
        </w:rPr>
        <w:t>los 2.760 toneladas</w:t>
      </w:r>
      <w:proofErr w:type="gramEnd"/>
      <w:r w:rsidR="00C65AC1" w:rsidRPr="00FC5B6A">
        <w:rPr>
          <w:rFonts w:asciiTheme="minorHAnsi" w:hAnsiTheme="minorHAnsi" w:cstheme="minorBidi"/>
          <w:sz w:val="22"/>
          <w:szCs w:val="22"/>
        </w:rPr>
        <w:t>.</w:t>
      </w:r>
    </w:p>
    <w:p w14:paraId="13CFEC7D" w14:textId="1D620F20" w:rsidR="0A141EBB" w:rsidRPr="00FC5B6A" w:rsidRDefault="00345A0A" w:rsidP="0A141EBB">
      <w:pPr>
        <w:pStyle w:val="NormalWeb"/>
        <w:jc w:val="both"/>
        <w:rPr>
          <w:rFonts w:asciiTheme="minorHAnsi" w:hAnsiTheme="minorHAnsi" w:cstheme="minorBidi"/>
          <w:sz w:val="22"/>
          <w:szCs w:val="22"/>
        </w:rPr>
      </w:pPr>
      <w:r w:rsidRPr="00FC5B6A">
        <w:rPr>
          <w:rFonts w:asciiTheme="minorHAnsi" w:hAnsiTheme="minorHAnsi" w:cstheme="minorBidi"/>
          <w:sz w:val="22"/>
          <w:szCs w:val="22"/>
        </w:rPr>
        <w:t xml:space="preserve">En conclusión, la economía busca mantener su papel en la producción de alimentos y el arraigo territorial, mientras se adapta a un marco normativo ambiental o. Este escenario exige </w:t>
      </w:r>
      <w:r w:rsidRPr="00FC5B6A">
        <w:rPr>
          <w:rStyle w:val="Fuerte"/>
          <w:rFonts w:asciiTheme="minorHAnsi" w:hAnsiTheme="minorHAnsi" w:cstheme="minorBidi"/>
          <w:sz w:val="22"/>
          <w:szCs w:val="22"/>
        </w:rPr>
        <w:t>mecanismos de transición productiva, incentivos para la</w:t>
      </w:r>
      <w:r w:rsidR="00935B5D" w:rsidRPr="00FC5B6A">
        <w:rPr>
          <w:rStyle w:val="Fuerte"/>
          <w:rFonts w:asciiTheme="minorHAnsi" w:hAnsiTheme="minorHAnsi" w:cstheme="minorBidi"/>
          <w:sz w:val="22"/>
          <w:szCs w:val="22"/>
        </w:rPr>
        <w:t xml:space="preserve">s actividades económicas realizadas en busca de seguridad y soberanía alimentaria </w:t>
      </w:r>
      <w:r w:rsidRPr="00FC5B6A">
        <w:rPr>
          <w:rStyle w:val="Fuerte"/>
          <w:rFonts w:asciiTheme="minorHAnsi" w:hAnsiTheme="minorHAnsi" w:cstheme="minorBidi"/>
          <w:sz w:val="22"/>
          <w:szCs w:val="22"/>
        </w:rPr>
        <w:t>y</w:t>
      </w:r>
      <w:r w:rsidR="00935B5D" w:rsidRPr="00FC5B6A">
        <w:rPr>
          <w:rStyle w:val="Fuerte"/>
          <w:rFonts w:asciiTheme="minorHAnsi" w:hAnsiTheme="minorHAnsi" w:cstheme="minorBidi"/>
          <w:sz w:val="22"/>
          <w:szCs w:val="22"/>
        </w:rPr>
        <w:t xml:space="preserve"> trabajarse bajo</w:t>
      </w:r>
      <w:r w:rsidRPr="00FC5B6A">
        <w:rPr>
          <w:rStyle w:val="Fuerte"/>
          <w:rFonts w:asciiTheme="minorHAnsi" w:hAnsiTheme="minorHAnsi" w:cstheme="minorBidi"/>
          <w:sz w:val="22"/>
          <w:szCs w:val="22"/>
        </w:rPr>
        <w:t xml:space="preserve"> procesos</w:t>
      </w:r>
      <w:r w:rsidRPr="00FC5B6A">
        <w:rPr>
          <w:rFonts w:asciiTheme="minorHAnsi" w:hAnsiTheme="minorHAnsi" w:cstheme="minorBidi"/>
          <w:sz w:val="22"/>
          <w:szCs w:val="22"/>
        </w:rPr>
        <w:t>, que permitan equilibrar la conservación ecológica con la justicia social en los territorios de alta montaña</w:t>
      </w:r>
      <w:r w:rsidR="00935B5D" w:rsidRPr="00FC5B6A">
        <w:rPr>
          <w:rStyle w:val="Refdenotaalpie"/>
          <w:rFonts w:asciiTheme="minorHAnsi" w:hAnsiTheme="minorHAnsi" w:cstheme="minorBidi"/>
          <w:sz w:val="22"/>
          <w:szCs w:val="22"/>
        </w:rPr>
        <w:footnoteReference w:id="20"/>
      </w:r>
      <w:r w:rsidRPr="00FC5B6A">
        <w:rPr>
          <w:rFonts w:asciiTheme="minorHAnsi" w:hAnsiTheme="minorHAnsi" w:cstheme="minorBidi"/>
          <w:sz w:val="22"/>
          <w:szCs w:val="22"/>
        </w:rPr>
        <w:t>.</w:t>
      </w:r>
    </w:p>
    <w:p w14:paraId="18D63A1F" w14:textId="67E8F64C" w:rsidR="00935B5D" w:rsidRPr="000C325D" w:rsidRDefault="00935B5D" w:rsidP="00935B5D">
      <w:pPr>
        <w:pStyle w:val="Ttulo2"/>
        <w:rPr>
          <w:b/>
          <w:bCs/>
        </w:rPr>
      </w:pPr>
      <w:bookmarkStart w:id="19" w:name="_Toc224921357"/>
      <w:r w:rsidRPr="000C325D">
        <w:rPr>
          <w:b/>
          <w:bCs/>
        </w:rPr>
        <w:t xml:space="preserve">Análisis de contexto realizado por la Universidad </w:t>
      </w:r>
      <w:r w:rsidR="0085649B" w:rsidRPr="000C325D">
        <w:rPr>
          <w:b/>
          <w:bCs/>
        </w:rPr>
        <w:t>Pedagógica</w:t>
      </w:r>
      <w:r w:rsidRPr="000C325D">
        <w:rPr>
          <w:b/>
          <w:bCs/>
        </w:rPr>
        <w:t xml:space="preserve"> y </w:t>
      </w:r>
      <w:r w:rsidR="0085649B" w:rsidRPr="000C325D">
        <w:rPr>
          <w:b/>
          <w:bCs/>
        </w:rPr>
        <w:t>Tecnológica</w:t>
      </w:r>
      <w:r w:rsidRPr="000C325D">
        <w:rPr>
          <w:b/>
          <w:bCs/>
        </w:rPr>
        <w:t xml:space="preserve"> de Colombia sobre el Cocuy</w:t>
      </w:r>
      <w:r w:rsidR="0085649B" w:rsidRPr="000C325D">
        <w:rPr>
          <w:rStyle w:val="Refdenotaalpie"/>
          <w:b/>
          <w:bCs/>
        </w:rPr>
        <w:footnoteReference w:id="21"/>
      </w:r>
      <w:bookmarkEnd w:id="19"/>
    </w:p>
    <w:p w14:paraId="3E729E5D" w14:textId="0E54E1DF" w:rsidR="0A141EBB" w:rsidRPr="00FC5B6A" w:rsidRDefault="0A141EBB" w:rsidP="0A141EBB"/>
    <w:p w14:paraId="00FA197B" w14:textId="5ADB5C2D" w:rsidR="0A141EBB" w:rsidRPr="00FC5B6A" w:rsidRDefault="0983F672" w:rsidP="0A141EBB">
      <w:pPr>
        <w:pStyle w:val="NormalWeb"/>
        <w:jc w:val="both"/>
        <w:rPr>
          <w:rFonts w:asciiTheme="minorHAnsi" w:hAnsiTheme="minorHAnsi" w:cstheme="minorBidi"/>
          <w:sz w:val="22"/>
          <w:szCs w:val="22"/>
        </w:rPr>
      </w:pPr>
      <w:r w:rsidRPr="00FC5B6A">
        <w:rPr>
          <w:rFonts w:asciiTheme="minorHAnsi" w:hAnsiTheme="minorHAnsi" w:cstheme="minorBidi"/>
          <w:sz w:val="22"/>
          <w:szCs w:val="22"/>
        </w:rPr>
        <w:t>La Sierra Nevada del Cocuy constituye uno de los ecosistemas estratégicos más relevantes de Colombia, tanto por su valor ecológico como por su importancia social. La delimitación de su páramo mediante la Resolución 1405 de 2018 y la declaratoria de la Reserva Forestal del Cocuy (Ley 2ª de 1959 y ordenamiento según Resolución 1275 de 2014) han configurado un marco normativo que resalta la necesidad de conservar este territorio, pero que al mismo tiempo genera tensiones con las comunidades campesinas que históricamente lo han habitado.</w:t>
      </w:r>
    </w:p>
    <w:p w14:paraId="68F64387" w14:textId="6F8773E5" w:rsidR="0A141EBB" w:rsidRPr="000C325D" w:rsidRDefault="000E49FA" w:rsidP="0A141EBB">
      <w:pPr>
        <w:pStyle w:val="NormalWeb"/>
        <w:jc w:val="both"/>
        <w:rPr>
          <w:rFonts w:asciiTheme="minorHAnsi" w:hAnsiTheme="minorHAnsi" w:cstheme="minorHAnsi"/>
          <w:sz w:val="22"/>
          <w:szCs w:val="22"/>
        </w:rPr>
      </w:pPr>
      <w:r w:rsidRPr="00FC5B6A">
        <w:rPr>
          <w:rFonts w:asciiTheme="minorHAnsi" w:hAnsiTheme="minorHAnsi" w:cstheme="minorBidi"/>
          <w:sz w:val="22"/>
          <w:szCs w:val="22"/>
        </w:rPr>
        <w:t>El páramo del Cocuy, con más de 270.000 hectáreas delimitadas, cumple funciones esenciales: regulación hídrica, captura de carbono, conservación de biodiversidad y soporte a procesos de adaptación al cambio climático. Estos servicios ecosistémicos justifican su protección y hacen de la zonificación una herramienta clave para orientar los usos permitidos y las actividades de restauración.</w:t>
      </w:r>
    </w:p>
    <w:p w14:paraId="20DC45D7" w14:textId="4C915AA1" w:rsidR="0A141EBB" w:rsidRPr="00FC5B6A" w:rsidRDefault="000E49FA" w:rsidP="0A141EBB">
      <w:pPr>
        <w:pStyle w:val="NormalWeb"/>
        <w:jc w:val="both"/>
        <w:rPr>
          <w:rFonts w:asciiTheme="minorHAnsi" w:hAnsiTheme="minorHAnsi" w:cstheme="minorBidi"/>
          <w:sz w:val="22"/>
          <w:szCs w:val="22"/>
        </w:rPr>
      </w:pPr>
      <w:r w:rsidRPr="00FC5B6A">
        <w:rPr>
          <w:rFonts w:asciiTheme="minorHAnsi" w:hAnsiTheme="minorHAnsi" w:cstheme="minorBidi"/>
          <w:sz w:val="22"/>
          <w:szCs w:val="22"/>
        </w:rPr>
        <w:t>La Reserva Forestal del Cocuy introduce una categoría de conservación que restringe los usos del suelo a actividades compatibles con la restauración de coberturas y la conservación de bosques. Sin embargo, esta figura incide sobre predios campesinos, generando limitaciones para las prácticas agrícolas tradicionales. La zonificación debe resolver esta superposición normativa, reconociendo usos diferenciales y estableciendo mecanismos de transición productiva.</w:t>
      </w:r>
    </w:p>
    <w:p w14:paraId="4B722F16" w14:textId="7ACCCCBC" w:rsidR="0A141EBB" w:rsidRPr="00FC5B6A" w:rsidRDefault="01892116" w:rsidP="1A24BF23">
      <w:pPr>
        <w:pStyle w:val="Ttulo3"/>
        <w:numPr>
          <w:ilvl w:val="0"/>
          <w:numId w:val="0"/>
        </w:numPr>
        <w:jc w:val="both"/>
        <w:rPr>
          <w:rFonts w:asciiTheme="minorHAnsi" w:hAnsiTheme="minorHAnsi" w:cstheme="minorBidi"/>
          <w:sz w:val="22"/>
          <w:szCs w:val="22"/>
        </w:rPr>
      </w:pPr>
      <w:bookmarkStart w:id="20" w:name="_Toc224921358"/>
      <w:r w:rsidRPr="00FC5B6A">
        <w:rPr>
          <w:rFonts w:asciiTheme="minorHAnsi" w:hAnsiTheme="minorHAnsi" w:cstheme="minorBidi"/>
          <w:sz w:val="22"/>
          <w:szCs w:val="22"/>
        </w:rPr>
        <w:t xml:space="preserve">3.6.1 </w:t>
      </w:r>
      <w:r w:rsidR="000E49FA" w:rsidRPr="00FC5B6A">
        <w:rPr>
          <w:rFonts w:asciiTheme="minorHAnsi" w:hAnsiTheme="minorHAnsi" w:cstheme="minorBidi"/>
          <w:sz w:val="22"/>
          <w:szCs w:val="22"/>
        </w:rPr>
        <w:t>Comunidad campesina y estructura agraria</w:t>
      </w:r>
      <w:bookmarkEnd w:id="20"/>
      <w:r w:rsidR="5BA1878F" w:rsidRPr="00FC5B6A">
        <w:rPr>
          <w:rFonts w:asciiTheme="minorHAnsi" w:hAnsiTheme="minorHAnsi" w:cstheme="minorBidi"/>
          <w:sz w:val="22"/>
          <w:szCs w:val="22"/>
        </w:rPr>
        <w:t xml:space="preserve"> </w:t>
      </w:r>
    </w:p>
    <w:p w14:paraId="13945BC8" w14:textId="37CC933C" w:rsidR="000E49FA" w:rsidRPr="00FC5B6A" w:rsidRDefault="175660E2" w:rsidP="1A24BF23">
      <w:pPr>
        <w:pStyle w:val="NormalWeb"/>
        <w:jc w:val="both"/>
        <w:rPr>
          <w:rFonts w:asciiTheme="minorHAnsi" w:hAnsiTheme="minorHAnsi" w:cstheme="minorBidi"/>
          <w:sz w:val="22"/>
          <w:szCs w:val="22"/>
        </w:rPr>
      </w:pPr>
      <w:r w:rsidRPr="00FC5B6A">
        <w:rPr>
          <w:rFonts w:asciiTheme="minorHAnsi" w:hAnsiTheme="minorHAnsi" w:cstheme="minorBidi"/>
          <w:sz w:val="22"/>
          <w:szCs w:val="22"/>
        </w:rPr>
        <w:t xml:space="preserve">Las practicas productivas de las comunidades son </w:t>
      </w:r>
      <w:r w:rsidR="000E49FA" w:rsidRPr="00FC5B6A">
        <w:rPr>
          <w:rFonts w:asciiTheme="minorHAnsi" w:hAnsiTheme="minorHAnsi" w:cstheme="minorBidi"/>
          <w:sz w:val="22"/>
          <w:szCs w:val="22"/>
        </w:rPr>
        <w:t>de baja tecnificación, son fundamentales para la seguridad alimentaria regional, pero ejercen presión sobre suelos y coberturas sensibles del páramo. Una zonificación adecuada debe reconocer esta realidad productiva y plantear alternativas sostenibles que garanticen medios de vida dignos.</w:t>
      </w:r>
    </w:p>
    <w:p w14:paraId="1C4719AA" w14:textId="53F2A17B" w:rsidR="0A141EBB" w:rsidRPr="00FC5B6A" w:rsidRDefault="0A141EBB" w:rsidP="0A141EBB">
      <w:pPr>
        <w:pStyle w:val="NormalWeb"/>
        <w:jc w:val="both"/>
        <w:rPr>
          <w:rFonts w:asciiTheme="minorHAnsi" w:hAnsiTheme="minorHAnsi" w:cstheme="minorBidi"/>
          <w:sz w:val="22"/>
          <w:szCs w:val="22"/>
        </w:rPr>
      </w:pPr>
    </w:p>
    <w:p w14:paraId="076C3C43" w14:textId="74787981" w:rsidR="0A141EBB" w:rsidRPr="00FC5B6A" w:rsidRDefault="29406D76" w:rsidP="1A24BF23">
      <w:pPr>
        <w:pStyle w:val="Ttulo3"/>
        <w:numPr>
          <w:ilvl w:val="0"/>
          <w:numId w:val="0"/>
        </w:numPr>
        <w:jc w:val="both"/>
        <w:rPr>
          <w:rFonts w:asciiTheme="minorHAnsi" w:hAnsiTheme="minorHAnsi" w:cstheme="minorBidi"/>
          <w:sz w:val="22"/>
          <w:szCs w:val="22"/>
        </w:rPr>
      </w:pPr>
      <w:bookmarkStart w:id="21" w:name="_Toc224921359"/>
      <w:r w:rsidRPr="00FC5B6A">
        <w:rPr>
          <w:rFonts w:asciiTheme="minorHAnsi" w:hAnsiTheme="minorHAnsi" w:cstheme="minorBidi"/>
          <w:sz w:val="22"/>
          <w:szCs w:val="22"/>
        </w:rPr>
        <w:t xml:space="preserve">3.6.2 </w:t>
      </w:r>
      <w:r w:rsidR="000E49FA" w:rsidRPr="00FC5B6A">
        <w:rPr>
          <w:rFonts w:asciiTheme="minorHAnsi" w:hAnsiTheme="minorHAnsi" w:cstheme="minorBidi"/>
          <w:sz w:val="22"/>
          <w:szCs w:val="22"/>
        </w:rPr>
        <w:t>Soberanía y seguridad alimentaria</w:t>
      </w:r>
      <w:bookmarkEnd w:id="21"/>
    </w:p>
    <w:p w14:paraId="610F6857" w14:textId="496865EC" w:rsidR="0A141EBB" w:rsidRPr="000C325D" w:rsidRDefault="000E49FA" w:rsidP="0A141EBB">
      <w:pPr>
        <w:pStyle w:val="NormalWeb"/>
        <w:jc w:val="both"/>
        <w:rPr>
          <w:rFonts w:asciiTheme="minorHAnsi" w:hAnsiTheme="minorHAnsi" w:cstheme="minorHAnsi"/>
          <w:sz w:val="22"/>
          <w:szCs w:val="22"/>
        </w:rPr>
      </w:pPr>
      <w:r w:rsidRPr="00FC5B6A">
        <w:rPr>
          <w:rFonts w:asciiTheme="minorHAnsi" w:hAnsiTheme="minorHAnsi" w:cstheme="minorBidi"/>
          <w:sz w:val="22"/>
          <w:szCs w:val="22"/>
        </w:rPr>
        <w:t>La soberanía alimentaria del campesinado del Cocuy se ve amenazada cuando las medidas de conservación se aplican sin concertación. La restricción absoluta de usos puede comprometer tanto la autosuficiencia de las familias como el abastecimiento regional. En este sentido, la zonificación debe equilibrar la protección ambiental con el derecho a producir alimentos, garantizando simultáneamente la seguridad alimentaria de comunidades locales y urbanas aguas abajo.</w:t>
      </w:r>
    </w:p>
    <w:p w14:paraId="134D36EB" w14:textId="1C863A28" w:rsidR="0A141EBB" w:rsidRPr="00FC5B6A" w:rsidRDefault="63C07600" w:rsidP="1A24BF23">
      <w:pPr>
        <w:pStyle w:val="Ttulo3"/>
        <w:numPr>
          <w:ilvl w:val="0"/>
          <w:numId w:val="0"/>
        </w:numPr>
        <w:jc w:val="both"/>
        <w:rPr>
          <w:rFonts w:asciiTheme="minorHAnsi" w:hAnsiTheme="minorHAnsi" w:cstheme="minorBidi"/>
          <w:sz w:val="22"/>
          <w:szCs w:val="22"/>
        </w:rPr>
      </w:pPr>
      <w:bookmarkStart w:id="22" w:name="_Toc224921360"/>
      <w:r w:rsidRPr="00FC5B6A">
        <w:rPr>
          <w:rFonts w:asciiTheme="minorHAnsi" w:hAnsiTheme="minorHAnsi" w:cstheme="minorBidi"/>
          <w:sz w:val="22"/>
          <w:szCs w:val="22"/>
        </w:rPr>
        <w:t xml:space="preserve">3.6.3 </w:t>
      </w:r>
      <w:r w:rsidR="000E49FA" w:rsidRPr="00FC5B6A">
        <w:rPr>
          <w:rFonts w:asciiTheme="minorHAnsi" w:hAnsiTheme="minorHAnsi" w:cstheme="minorBidi"/>
          <w:sz w:val="22"/>
          <w:szCs w:val="22"/>
        </w:rPr>
        <w:t>Dinámicas territoriales y conflictos socioambientales</w:t>
      </w:r>
      <w:bookmarkEnd w:id="22"/>
    </w:p>
    <w:p w14:paraId="23A2AD42" w14:textId="19C09495" w:rsidR="0A141EBB" w:rsidRPr="000C325D" w:rsidRDefault="000E49FA" w:rsidP="0A141EBB">
      <w:pPr>
        <w:pStyle w:val="NormalWeb"/>
        <w:jc w:val="both"/>
        <w:rPr>
          <w:rFonts w:asciiTheme="minorHAnsi" w:hAnsiTheme="minorHAnsi" w:cstheme="minorHAnsi"/>
          <w:sz w:val="22"/>
          <w:szCs w:val="22"/>
        </w:rPr>
      </w:pPr>
      <w:r w:rsidRPr="00FC5B6A">
        <w:rPr>
          <w:rFonts w:asciiTheme="minorHAnsi" w:hAnsiTheme="minorHAnsi" w:cstheme="minorBidi"/>
          <w:sz w:val="22"/>
          <w:szCs w:val="22"/>
        </w:rPr>
        <w:t>La coexistencia de las figuras de páramo y reserva forestal ha generado conflictos sociales y jurídicos. Mientras la conservación busca garantizar bienes comunes como el agua, las comunidades campesinas reclaman su derecho a permanecer en el territorio y mantener sus sistemas de producción. Una zonificación diferenciada entre áreas de conservación, zonas de restauración y franjas de uso sostenible puede contribuir a resolver estas tensiones.</w:t>
      </w:r>
    </w:p>
    <w:p w14:paraId="36C2D698" w14:textId="6A2E8CC2" w:rsidR="00563A6F" w:rsidRDefault="00100423" w:rsidP="00B75C73">
      <w:pPr>
        <w:pStyle w:val="Ttulo1"/>
        <w:rPr>
          <w:rFonts w:asciiTheme="minorHAnsi" w:hAnsiTheme="minorHAnsi" w:cstheme="minorBidi"/>
        </w:rPr>
      </w:pPr>
      <w:bookmarkStart w:id="23" w:name="_Toc224921361"/>
      <w:r w:rsidRPr="00FC5B6A">
        <w:rPr>
          <w:rFonts w:asciiTheme="minorHAnsi" w:hAnsiTheme="minorHAnsi" w:cstheme="minorBidi"/>
        </w:rPr>
        <w:t>Z</w:t>
      </w:r>
      <w:r w:rsidR="00563A6F" w:rsidRPr="00FC5B6A">
        <w:rPr>
          <w:rFonts w:asciiTheme="minorHAnsi" w:hAnsiTheme="minorHAnsi" w:cstheme="minorBidi"/>
        </w:rPr>
        <w:t xml:space="preserve">onificación </w:t>
      </w:r>
      <w:r w:rsidR="0006736A" w:rsidRPr="00FC5B6A">
        <w:rPr>
          <w:rFonts w:asciiTheme="minorHAnsi" w:hAnsiTheme="minorHAnsi" w:cstheme="minorBidi"/>
        </w:rPr>
        <w:t>a</w:t>
      </w:r>
      <w:r w:rsidR="00563A6F" w:rsidRPr="00FC5B6A">
        <w:rPr>
          <w:rFonts w:asciiTheme="minorHAnsi" w:hAnsiTheme="minorHAnsi" w:cstheme="minorBidi"/>
        </w:rPr>
        <w:t>mbiental</w:t>
      </w:r>
      <w:bookmarkEnd w:id="18"/>
      <w:bookmarkEnd w:id="23"/>
    </w:p>
    <w:p w14:paraId="7488E0C5" w14:textId="77777777" w:rsidR="000C325D" w:rsidRPr="000C325D" w:rsidRDefault="000C325D" w:rsidP="000C325D">
      <w:pPr>
        <w:spacing w:after="0" w:line="240" w:lineRule="auto"/>
      </w:pPr>
    </w:p>
    <w:p w14:paraId="65E32CB1" w14:textId="789BEAA5" w:rsidR="4EC8AEF0" w:rsidRDefault="4EC8AEF0" w:rsidP="000C325D">
      <w:pPr>
        <w:spacing w:after="0" w:line="240" w:lineRule="auto"/>
        <w:jc w:val="both"/>
        <w:rPr>
          <w:rFonts w:ascii="Calibri" w:eastAsia="Calibri" w:hAnsi="Calibri" w:cs="Calibri"/>
          <w:noProof/>
        </w:rPr>
      </w:pPr>
      <w:r w:rsidRPr="00FC5B6A">
        <w:rPr>
          <w:rFonts w:ascii="Calibri" w:eastAsia="Calibri" w:hAnsi="Calibri" w:cs="Calibri"/>
          <w:noProof/>
        </w:rPr>
        <w:t xml:space="preserve">La metodología de zonificación ambiental para el territorio del Cocuy se formuló en cumplimiento del punto 1.1.10 del Acuerdo Final de Paz, que ordenaba elaborar un </w:t>
      </w:r>
      <w:r w:rsidRPr="00FC5B6A">
        <w:rPr>
          <w:rFonts w:ascii="Calibri" w:eastAsia="Calibri" w:hAnsi="Calibri" w:cs="Calibri"/>
          <w:b/>
          <w:bCs/>
          <w:noProof/>
        </w:rPr>
        <w:t>Plan de Zonificación Ambiental</w:t>
      </w:r>
      <w:r w:rsidRPr="00FC5B6A">
        <w:rPr>
          <w:rFonts w:ascii="Calibri" w:eastAsia="Calibri" w:hAnsi="Calibri" w:cs="Calibri"/>
          <w:noProof/>
        </w:rPr>
        <w:t xml:space="preserve"> en un plazo de dos años. Este debía delimitar la frontera agrícola y caracterizar áreas de manejo especial como reservas forestales, zonas de alta biodiversidad, ecosistemas frágiles, páramos, humedales y fuentes hídricas, con el objetivo de proteger la biodiversidad y garantizar el derecho progresivo al agua mediante un uso racional de los recursos.</w:t>
      </w:r>
    </w:p>
    <w:p w14:paraId="31D616C9" w14:textId="77777777" w:rsidR="000C325D" w:rsidRPr="00FC5B6A" w:rsidRDefault="000C325D" w:rsidP="000C325D">
      <w:pPr>
        <w:spacing w:after="0" w:line="240" w:lineRule="auto"/>
        <w:jc w:val="both"/>
      </w:pPr>
    </w:p>
    <w:p w14:paraId="568217AC" w14:textId="62497A9B" w:rsidR="4EC8AEF0" w:rsidRDefault="4EC8AEF0" w:rsidP="000C325D">
      <w:pPr>
        <w:spacing w:after="0" w:line="240" w:lineRule="auto"/>
        <w:jc w:val="both"/>
        <w:rPr>
          <w:rFonts w:ascii="Calibri" w:eastAsia="Calibri" w:hAnsi="Calibri" w:cs="Calibri"/>
          <w:noProof/>
        </w:rPr>
      </w:pPr>
      <w:r w:rsidRPr="00FC5B6A">
        <w:rPr>
          <w:rFonts w:ascii="Calibri" w:eastAsia="Calibri" w:hAnsi="Calibri" w:cs="Calibri"/>
          <w:noProof/>
        </w:rPr>
        <w:t xml:space="preserve">El </w:t>
      </w:r>
      <w:r w:rsidRPr="00FC5B6A">
        <w:rPr>
          <w:rFonts w:ascii="Calibri" w:eastAsia="Calibri" w:hAnsi="Calibri" w:cs="Calibri"/>
          <w:b/>
          <w:bCs/>
          <w:noProof/>
        </w:rPr>
        <w:t>Ministerio de Ambiente y Desarrollo Sostenible</w:t>
      </w:r>
      <w:r w:rsidRPr="00FC5B6A">
        <w:rPr>
          <w:rFonts w:ascii="Calibri" w:eastAsia="Calibri" w:hAnsi="Calibri" w:cs="Calibri"/>
          <w:noProof/>
        </w:rPr>
        <w:t xml:space="preserve"> aplicó esta metodología a escala 1:100.000 en </w:t>
      </w:r>
      <w:r w:rsidRPr="00FC5B6A">
        <w:rPr>
          <w:rFonts w:ascii="Calibri" w:eastAsia="Calibri" w:hAnsi="Calibri" w:cs="Calibri"/>
          <w:b/>
          <w:bCs/>
          <w:noProof/>
        </w:rPr>
        <w:t>385 municipios adicionales a los 170 municipios PDET</w:t>
      </w:r>
      <w:r w:rsidRPr="00FC5B6A">
        <w:rPr>
          <w:rFonts w:ascii="Calibri" w:eastAsia="Calibri" w:hAnsi="Calibri" w:cs="Calibri"/>
          <w:noProof/>
        </w:rPr>
        <w:t xml:space="preserve">, priorizados en el </w:t>
      </w:r>
      <w:r w:rsidRPr="00FC5B6A">
        <w:rPr>
          <w:rFonts w:ascii="Calibri" w:eastAsia="Calibri" w:hAnsi="Calibri" w:cs="Calibri"/>
          <w:b/>
          <w:bCs/>
          <w:noProof/>
        </w:rPr>
        <w:t>PND 2022–2026</w:t>
      </w:r>
      <w:r w:rsidRPr="00FC5B6A">
        <w:rPr>
          <w:rFonts w:ascii="Calibri" w:eastAsia="Calibri" w:hAnsi="Calibri" w:cs="Calibri"/>
          <w:noProof/>
        </w:rPr>
        <w:t xml:space="preserve"> por su relevancia en la provisión de servicios ecosistémicos. Estos municipios se agruparon en </w:t>
      </w:r>
      <w:r w:rsidRPr="00FC5B6A">
        <w:rPr>
          <w:rFonts w:ascii="Calibri" w:eastAsia="Calibri" w:hAnsi="Calibri" w:cs="Calibri"/>
          <w:b/>
          <w:bCs/>
          <w:noProof/>
        </w:rPr>
        <w:t>35 subregiones supramunicipales</w:t>
      </w:r>
      <w:r w:rsidRPr="00FC5B6A">
        <w:rPr>
          <w:rFonts w:ascii="Calibri" w:eastAsia="Calibri" w:hAnsi="Calibri" w:cs="Calibri"/>
          <w:noProof/>
        </w:rPr>
        <w:t xml:space="preserve">, que constituyen la unidad de análisis para la zonificación, integrando las áreas de la </w:t>
      </w:r>
      <w:r w:rsidRPr="00FC5B6A">
        <w:rPr>
          <w:rFonts w:ascii="Calibri" w:eastAsia="Calibri" w:hAnsi="Calibri" w:cs="Calibri"/>
          <w:b/>
          <w:bCs/>
          <w:noProof/>
        </w:rPr>
        <w:t>Ley 2 de 1959</w:t>
      </w:r>
      <w:r w:rsidRPr="00FC5B6A">
        <w:rPr>
          <w:rFonts w:ascii="Calibri" w:eastAsia="Calibri" w:hAnsi="Calibri" w:cs="Calibri"/>
          <w:noProof/>
        </w:rPr>
        <w:t xml:space="preserve"> con ecosistemas estratégicos de alta importancia ambiental.</w:t>
      </w:r>
    </w:p>
    <w:p w14:paraId="70EFAA1F" w14:textId="77777777" w:rsidR="000C325D" w:rsidRPr="00FC5B6A" w:rsidRDefault="000C325D" w:rsidP="000C325D">
      <w:pPr>
        <w:spacing w:after="0" w:line="240" w:lineRule="auto"/>
        <w:jc w:val="both"/>
      </w:pPr>
    </w:p>
    <w:p w14:paraId="293D186C" w14:textId="3067D2FE" w:rsidR="4EC8AEF0" w:rsidRDefault="4EC8AEF0" w:rsidP="000C325D">
      <w:pPr>
        <w:spacing w:after="0" w:line="240" w:lineRule="auto"/>
        <w:jc w:val="both"/>
        <w:rPr>
          <w:rFonts w:ascii="Calibri" w:eastAsia="Calibri" w:hAnsi="Calibri" w:cs="Calibri"/>
          <w:noProof/>
        </w:rPr>
      </w:pPr>
      <w:r w:rsidRPr="00FC5B6A">
        <w:rPr>
          <w:rFonts w:ascii="Calibri" w:eastAsia="Calibri" w:hAnsi="Calibri" w:cs="Calibri"/>
          <w:noProof/>
        </w:rPr>
        <w:t xml:space="preserve">La zonificación adopta el concepto de </w:t>
      </w:r>
      <w:r w:rsidRPr="00FC5B6A">
        <w:rPr>
          <w:rFonts w:ascii="Calibri" w:eastAsia="Calibri" w:hAnsi="Calibri" w:cs="Calibri"/>
          <w:b/>
          <w:bCs/>
          <w:noProof/>
        </w:rPr>
        <w:t>biodiversidad</w:t>
      </w:r>
      <w:r w:rsidRPr="00FC5B6A">
        <w:rPr>
          <w:rFonts w:ascii="Calibri" w:eastAsia="Calibri" w:hAnsi="Calibri" w:cs="Calibri"/>
          <w:noProof/>
        </w:rPr>
        <w:t xml:space="preserve"> definido en el Convenio sobre Diversidad Biológica (1992), entendido como la variabilidad de organismos y ecosistemas. En este punto cobra relevancia la </w:t>
      </w:r>
      <w:r w:rsidRPr="00FC5B6A">
        <w:rPr>
          <w:rFonts w:ascii="Calibri" w:eastAsia="Calibri" w:hAnsi="Calibri" w:cs="Calibri"/>
          <w:b/>
          <w:bCs/>
          <w:noProof/>
        </w:rPr>
        <w:t>Evaluación de Ecosistemas del Milenio (2005)</w:t>
      </w:r>
      <w:r w:rsidRPr="00FC5B6A">
        <w:rPr>
          <w:rFonts w:ascii="Calibri" w:eastAsia="Calibri" w:hAnsi="Calibri" w:cs="Calibri"/>
          <w:noProof/>
        </w:rPr>
        <w:t xml:space="preserve">, que evidenció la estrecha relación entre biodiversidad y bienestar humano, al demostrar que las funciones ecosistémicas generan beneficios directos e indirectos esenciales para la calidad de vida. Estos beneficios, denominados </w:t>
      </w:r>
      <w:r w:rsidRPr="00FC5B6A">
        <w:rPr>
          <w:rFonts w:ascii="Calibri" w:eastAsia="Calibri" w:hAnsi="Calibri" w:cs="Calibri"/>
          <w:b/>
          <w:bCs/>
          <w:noProof/>
        </w:rPr>
        <w:t>servicios ecosistémicos (SS.EE)</w:t>
      </w:r>
      <w:r w:rsidRPr="00FC5B6A">
        <w:rPr>
          <w:rFonts w:ascii="Calibri" w:eastAsia="Calibri" w:hAnsi="Calibri" w:cs="Calibri"/>
          <w:noProof/>
        </w:rPr>
        <w:t>, son percibidos y valorados por las comunidades como la base de su sustento y seguridad.</w:t>
      </w:r>
    </w:p>
    <w:p w14:paraId="7FD127B3" w14:textId="77777777" w:rsidR="000C325D" w:rsidRPr="00FC5B6A" w:rsidRDefault="000C325D" w:rsidP="000C325D">
      <w:pPr>
        <w:spacing w:after="0" w:line="240" w:lineRule="auto"/>
        <w:jc w:val="both"/>
      </w:pPr>
    </w:p>
    <w:p w14:paraId="09A00D5E" w14:textId="3FF39AF4" w:rsidR="4EC8AEF0" w:rsidRDefault="4EC8AEF0" w:rsidP="000C325D">
      <w:pPr>
        <w:spacing w:after="0" w:line="240" w:lineRule="auto"/>
        <w:jc w:val="both"/>
        <w:rPr>
          <w:rFonts w:ascii="Calibri" w:eastAsia="Calibri" w:hAnsi="Calibri" w:cs="Calibri"/>
          <w:noProof/>
        </w:rPr>
      </w:pPr>
      <w:r w:rsidRPr="00FC5B6A">
        <w:rPr>
          <w:rFonts w:ascii="Calibri" w:eastAsia="Calibri" w:hAnsi="Calibri" w:cs="Calibri"/>
          <w:noProof/>
        </w:rPr>
        <w:t xml:space="preserve">De acuerdo con dicha evaluación, se identifican </w:t>
      </w:r>
      <w:r w:rsidRPr="00FC5B6A">
        <w:rPr>
          <w:rFonts w:ascii="Calibri" w:eastAsia="Calibri" w:hAnsi="Calibri" w:cs="Calibri"/>
          <w:b/>
          <w:bCs/>
          <w:noProof/>
        </w:rPr>
        <w:t>cuatro tipos de servicios ecosistémicos</w:t>
      </w:r>
      <w:r w:rsidRPr="00FC5B6A">
        <w:rPr>
          <w:rFonts w:ascii="Calibri" w:eastAsia="Calibri" w:hAnsi="Calibri" w:cs="Calibri"/>
          <w:noProof/>
        </w:rPr>
        <w:t xml:space="preserve">: (i) de aprovisionamiento, que suministran alimentos, agua, suelos y materias primas; (ii) de regulación, que aseguran procesos como el control climático, la purificación del agua y la prevención de erosión; (iii) culturales, que proveen beneficios espirituales, recreativos y estéticos; y (iv) de soporte, que posibilitan el funcionamiento ecológico mediante procesos como la formación del suelo, el ciclado </w:t>
      </w:r>
      <w:r w:rsidRPr="00FC5B6A">
        <w:rPr>
          <w:rFonts w:ascii="Calibri" w:eastAsia="Calibri" w:hAnsi="Calibri" w:cs="Calibri"/>
          <w:noProof/>
        </w:rPr>
        <w:lastRenderedPageBreak/>
        <w:t>de nutrientes y la provisión de hábitat. Esta clasificación es la base científica que orienta la zonificación en Colombia, permitiendo valorar integralmente la biodiversidad.</w:t>
      </w:r>
    </w:p>
    <w:p w14:paraId="412100E6" w14:textId="77777777" w:rsidR="000C325D" w:rsidRPr="00FC5B6A" w:rsidRDefault="000C325D" w:rsidP="000C325D">
      <w:pPr>
        <w:spacing w:after="0" w:line="240" w:lineRule="auto"/>
        <w:jc w:val="both"/>
      </w:pPr>
    </w:p>
    <w:p w14:paraId="4206651A" w14:textId="35D9DE29" w:rsidR="4EC8AEF0" w:rsidRDefault="4EC8AEF0" w:rsidP="000C325D">
      <w:pPr>
        <w:spacing w:after="0" w:line="240" w:lineRule="auto"/>
        <w:jc w:val="both"/>
        <w:rPr>
          <w:rFonts w:ascii="Calibri" w:eastAsia="Calibri" w:hAnsi="Calibri" w:cs="Calibri"/>
          <w:noProof/>
        </w:rPr>
      </w:pPr>
      <w:r w:rsidRPr="00FC5B6A">
        <w:rPr>
          <w:rFonts w:ascii="Calibri" w:eastAsia="Calibri" w:hAnsi="Calibri" w:cs="Calibri"/>
          <w:noProof/>
        </w:rPr>
        <w:t xml:space="preserve">Desde 2012, Colombia implementa la </w:t>
      </w:r>
      <w:r w:rsidRPr="00FC5B6A">
        <w:rPr>
          <w:rFonts w:ascii="Calibri" w:eastAsia="Calibri" w:hAnsi="Calibri" w:cs="Calibri"/>
          <w:b/>
          <w:bCs/>
          <w:noProof/>
        </w:rPr>
        <w:t>Política Nacional para la Gestión Integral de la Biodiversidad y sus Servicios Ecosistémicos (PNGIBSE)</w:t>
      </w:r>
      <w:r w:rsidRPr="00FC5B6A">
        <w:rPr>
          <w:rFonts w:ascii="Calibri" w:eastAsia="Calibri" w:hAnsi="Calibri" w:cs="Calibri"/>
          <w:noProof/>
        </w:rPr>
        <w:t xml:space="preserve">, que integra estas categorías de servicios en la planificación territorial. En concordancia con la </w:t>
      </w:r>
      <w:r w:rsidRPr="00FC5B6A">
        <w:rPr>
          <w:rFonts w:ascii="Calibri" w:eastAsia="Calibri" w:hAnsi="Calibri" w:cs="Calibri"/>
          <w:b/>
          <w:bCs/>
          <w:noProof/>
        </w:rPr>
        <w:t>Ley 99 de 1993 (art. 7)</w:t>
      </w:r>
      <w:r w:rsidRPr="00FC5B6A">
        <w:rPr>
          <w:rFonts w:ascii="Calibri" w:eastAsia="Calibri" w:hAnsi="Calibri" w:cs="Calibri"/>
          <w:noProof/>
        </w:rPr>
        <w:t>, se plantea que toda acción sobre el territorio debe tener la conservación como eje estructurante. La conservación, lejos de significar inacción, combina preservación, restauración, uso sostenible y conocimiento, lo que garantiza resiliencia ecológica y productividad económica a largo plazo.</w:t>
      </w:r>
    </w:p>
    <w:p w14:paraId="03B0E50B" w14:textId="77777777" w:rsidR="000C325D" w:rsidRPr="00FC5B6A" w:rsidRDefault="000C325D" w:rsidP="000C325D">
      <w:pPr>
        <w:spacing w:after="0" w:line="240" w:lineRule="auto"/>
        <w:jc w:val="both"/>
      </w:pPr>
    </w:p>
    <w:p w14:paraId="6A1D4596" w14:textId="586770DE" w:rsidR="4EC8AEF0" w:rsidRPr="00FC5B6A" w:rsidRDefault="4EC8AEF0" w:rsidP="000C325D">
      <w:pPr>
        <w:spacing w:after="0" w:line="240" w:lineRule="auto"/>
        <w:jc w:val="both"/>
      </w:pPr>
      <w:r w:rsidRPr="00FC5B6A">
        <w:rPr>
          <w:rFonts w:ascii="Calibri" w:eastAsia="Calibri" w:hAnsi="Calibri" w:cs="Calibri"/>
          <w:noProof/>
        </w:rPr>
        <w:t xml:space="preserve">Finalmente, la propuesta de zonificación ambiental no se limita a definir la </w:t>
      </w:r>
      <w:r w:rsidRPr="00FC5B6A">
        <w:rPr>
          <w:rFonts w:ascii="Calibri" w:eastAsia="Calibri" w:hAnsi="Calibri" w:cs="Calibri"/>
          <w:b/>
          <w:bCs/>
          <w:noProof/>
        </w:rPr>
        <w:t>estructura ecológica principal</w:t>
      </w:r>
      <w:r w:rsidRPr="00FC5B6A">
        <w:rPr>
          <w:rFonts w:ascii="Calibri" w:eastAsia="Calibri" w:hAnsi="Calibri" w:cs="Calibri"/>
          <w:noProof/>
        </w:rPr>
        <w:t>, sino que establece lineamientos de manejo aplicables a todos los usos del suelo municipal. La identificación de coberturas y funciones ecosistémicas, sustentada en la Evaluación de Ecosistemas del Milenio, permite comprender tanto el estado actual como las rutas de manejo requeridas. Así, la ordenación ambiental busca mantener la estructura, composición y funcionamiento de los ecosistemas, garantizando simultáneamente la conservación de la biodiversidad y la continuidad de los servicios ecosistémicos como fundamento de la vida y del desarrollo sostenible en la reserva forestal el Cocuy.</w:t>
      </w:r>
    </w:p>
    <w:p w14:paraId="28575883" w14:textId="77777777" w:rsidR="00657161" w:rsidRPr="00FC5B6A" w:rsidRDefault="00657161" w:rsidP="00AD325D">
      <w:pPr>
        <w:spacing w:after="0" w:line="276" w:lineRule="auto"/>
        <w:jc w:val="both"/>
        <w:rPr>
          <w:rFonts w:ascii="Alte Haas Grotesk" w:eastAsiaTheme="majorEastAsia" w:hAnsi="Alte Haas Grotesk" w:cs="Arial"/>
          <w:noProof/>
          <w:color w:val="000000" w:themeColor="text1"/>
        </w:rPr>
      </w:pPr>
    </w:p>
    <w:p w14:paraId="2BBEFA36" w14:textId="5291EE17" w:rsidR="000B38F1" w:rsidRPr="000C325D" w:rsidRDefault="22DF84DA" w:rsidP="1A24BF23">
      <w:pPr>
        <w:pStyle w:val="Ttulo2"/>
        <w:spacing w:line="276" w:lineRule="auto"/>
        <w:rPr>
          <w:b/>
          <w:bCs/>
        </w:rPr>
      </w:pPr>
      <w:bookmarkStart w:id="24" w:name="_Toc224921362"/>
      <w:bookmarkStart w:id="25" w:name="_Toc186104579"/>
      <w:r w:rsidRPr="000C325D">
        <w:rPr>
          <w:b/>
          <w:bCs/>
        </w:rPr>
        <w:t>Metodología para la construcción de la zonificación ambiental</w:t>
      </w:r>
      <w:bookmarkEnd w:id="24"/>
      <w:r w:rsidRPr="000C325D">
        <w:rPr>
          <w:b/>
          <w:bCs/>
        </w:rPr>
        <w:t xml:space="preserve"> </w:t>
      </w:r>
      <w:bookmarkEnd w:id="25"/>
    </w:p>
    <w:p w14:paraId="2FF89D6A" w14:textId="4DBD77DE" w:rsidR="00632BCE" w:rsidRPr="00FC5B6A" w:rsidRDefault="22DF84DA" w:rsidP="000C325D">
      <w:pPr>
        <w:spacing w:after="0" w:line="240" w:lineRule="auto"/>
        <w:jc w:val="both"/>
        <w:rPr>
          <w:color w:val="000000" w:themeColor="text1"/>
        </w:rPr>
      </w:pPr>
      <w:r w:rsidRPr="00FC5B6A">
        <w:rPr>
          <w:color w:val="000000" w:themeColor="text1"/>
        </w:rPr>
        <w:t xml:space="preserve">La zonificación ambiental  en términos generales, se desarrolla bajo una metodología planteada en 5 etapas que permiten hacer una identificación y priorización de áreas al interior de un territorio, a partir de la relación entre la oferta de Servicios ecosistémicos y las dinámicas socio-ambientales que presionan dicha oferta, de modo tal que, se puedan establecer los sectores del territorio donde la combinación de estas dos variables, hace necesario fortalecer las acciones para proteger y mantener la biodiversidad; recuperar y restaurar la biodiversidad y/o se pueden promover, fortalecer o reconvertir sistemas de producción, para cumplir con criterios de sostenibilidad. </w:t>
      </w:r>
    </w:p>
    <w:p w14:paraId="248C7AA8" w14:textId="77777777" w:rsidR="007D79D7" w:rsidRPr="00FC5B6A" w:rsidRDefault="007D79D7" w:rsidP="000C325D">
      <w:pPr>
        <w:spacing w:after="0" w:line="240" w:lineRule="auto"/>
        <w:jc w:val="both"/>
        <w:rPr>
          <w:rFonts w:cstheme="minorHAnsi"/>
          <w:color w:val="000000" w:themeColor="text1"/>
        </w:rPr>
      </w:pPr>
    </w:p>
    <w:p w14:paraId="1B947DB3" w14:textId="48FE6CC7" w:rsidR="00632BCE" w:rsidRPr="00FC5B6A" w:rsidRDefault="00632BCE" w:rsidP="000C325D">
      <w:pPr>
        <w:spacing w:after="0" w:line="240" w:lineRule="auto"/>
        <w:jc w:val="both"/>
        <w:rPr>
          <w:rFonts w:cstheme="minorHAnsi"/>
          <w:color w:val="000000" w:themeColor="text1"/>
        </w:rPr>
      </w:pPr>
      <w:r w:rsidRPr="00FC5B6A">
        <w:rPr>
          <w:rFonts w:cstheme="minorHAnsi"/>
          <w:color w:val="000000" w:themeColor="text1"/>
        </w:rPr>
        <w:t>Adicionalmente, esta información se cruza también con las AEIA que han sido definidas, tanto por actos administrativos, como por su importancia estratégica en el territorio. Sustentar la zonificación de un territorio dado y su posterior asignación de regímenes de uso del suelo, en el reconocimiento y conservación de los servicios ecosistémicos, es un punto de partida fundamental para que éstos sigan siendo fuente y garantía del bienestar humano, sin que esto signifique impedir las opciones ligadas al crecimiento económico (</w:t>
      </w:r>
      <w:r w:rsidR="007329BD" w:rsidRPr="00FC5B6A">
        <w:rPr>
          <w:rFonts w:cstheme="minorHAnsi"/>
          <w:color w:val="FF0000"/>
        </w:rPr>
        <w:fldChar w:fldCharType="begin"/>
      </w:r>
      <w:r w:rsidR="007329BD" w:rsidRPr="00FC5B6A">
        <w:rPr>
          <w:rFonts w:cstheme="minorHAnsi"/>
          <w:color w:val="000000" w:themeColor="text1"/>
        </w:rPr>
        <w:instrText xml:space="preserve"> REF _Ref167531216 \h </w:instrText>
      </w:r>
      <w:r w:rsidR="006E0C08" w:rsidRPr="00FC5B6A">
        <w:rPr>
          <w:rFonts w:cstheme="minorHAnsi"/>
          <w:color w:val="FF0000"/>
        </w:rPr>
        <w:instrText xml:space="preserve"> \* MERGEFORMAT </w:instrText>
      </w:r>
      <w:r w:rsidR="007329BD" w:rsidRPr="00FC5B6A">
        <w:rPr>
          <w:rFonts w:cstheme="minorHAnsi"/>
          <w:color w:val="FF0000"/>
        </w:rPr>
      </w:r>
      <w:r w:rsidR="007329BD" w:rsidRPr="00FC5B6A">
        <w:rPr>
          <w:rFonts w:cstheme="minorHAnsi"/>
          <w:color w:val="FF0000"/>
        </w:rPr>
        <w:fldChar w:fldCharType="separate"/>
      </w:r>
      <w:proofErr w:type="gramStart"/>
      <w:r w:rsidR="00E74A31" w:rsidRPr="00FC5B6A">
        <w:rPr>
          <w:rFonts w:cstheme="minorHAnsi"/>
          <w:bCs/>
          <w:i/>
          <w:sz w:val="20"/>
          <w:szCs w:val="16"/>
        </w:rPr>
        <w:t>Figura  2</w:t>
      </w:r>
      <w:proofErr w:type="gramEnd"/>
      <w:r w:rsidR="007329BD" w:rsidRPr="00FC5B6A">
        <w:rPr>
          <w:rFonts w:cstheme="minorHAnsi"/>
          <w:color w:val="FF0000"/>
        </w:rPr>
        <w:fldChar w:fldCharType="end"/>
      </w:r>
      <w:r w:rsidRPr="00FC5B6A">
        <w:rPr>
          <w:rFonts w:cstheme="minorHAnsi"/>
          <w:color w:val="000000" w:themeColor="text1"/>
        </w:rPr>
        <w:t xml:space="preserve">). </w:t>
      </w:r>
    </w:p>
    <w:p w14:paraId="2852931B" w14:textId="77777777" w:rsidR="001B28C0" w:rsidRPr="00FC5B6A" w:rsidRDefault="001B28C0" w:rsidP="00632BCE">
      <w:pPr>
        <w:spacing w:after="0" w:line="276" w:lineRule="auto"/>
        <w:jc w:val="both"/>
        <w:rPr>
          <w:rFonts w:cstheme="minorHAnsi"/>
          <w:color w:val="000000" w:themeColor="text1"/>
        </w:rPr>
      </w:pPr>
    </w:p>
    <w:p w14:paraId="064835FE" w14:textId="218CAC88" w:rsidR="007329BD" w:rsidRPr="00FC5B6A" w:rsidRDefault="007329BD" w:rsidP="007329BD">
      <w:pPr>
        <w:pStyle w:val="Descripcin"/>
        <w:keepNext/>
        <w:jc w:val="center"/>
        <w:rPr>
          <w:rFonts w:cstheme="minorHAnsi"/>
          <w:bCs/>
          <w:i w:val="0"/>
          <w:color w:val="auto"/>
          <w:sz w:val="20"/>
          <w:szCs w:val="16"/>
        </w:rPr>
      </w:pPr>
      <w:bookmarkStart w:id="26" w:name="_Ref167531216"/>
      <w:bookmarkStart w:id="27" w:name="_Toc478482909"/>
      <w:bookmarkStart w:id="28" w:name="_Toc170133219"/>
      <w:r w:rsidRPr="00FC5B6A">
        <w:rPr>
          <w:rFonts w:cstheme="minorHAnsi"/>
          <w:bCs/>
          <w:i w:val="0"/>
          <w:color w:val="auto"/>
          <w:sz w:val="20"/>
          <w:szCs w:val="16"/>
        </w:rPr>
        <w:lastRenderedPageBreak/>
        <w:t xml:space="preserve">Figura  </w:t>
      </w:r>
      <w:r w:rsidRPr="00FC5B6A">
        <w:rPr>
          <w:rFonts w:cstheme="minorHAnsi"/>
          <w:bCs/>
          <w:i w:val="0"/>
          <w:color w:val="auto"/>
          <w:sz w:val="20"/>
          <w:szCs w:val="16"/>
        </w:rPr>
        <w:fldChar w:fldCharType="begin"/>
      </w:r>
      <w:r w:rsidRPr="00FC5B6A">
        <w:rPr>
          <w:rFonts w:cstheme="minorHAnsi"/>
          <w:bCs/>
          <w:i w:val="0"/>
          <w:color w:val="auto"/>
          <w:sz w:val="20"/>
          <w:szCs w:val="16"/>
        </w:rPr>
        <w:instrText xml:space="preserve"> SEQ Figura_ \* ARABIC </w:instrText>
      </w:r>
      <w:r w:rsidRPr="00FC5B6A">
        <w:rPr>
          <w:rFonts w:cstheme="minorHAnsi"/>
          <w:bCs/>
          <w:i w:val="0"/>
          <w:color w:val="auto"/>
          <w:sz w:val="20"/>
          <w:szCs w:val="16"/>
        </w:rPr>
        <w:fldChar w:fldCharType="separate"/>
      </w:r>
      <w:r w:rsidR="00E74A31" w:rsidRPr="00FC5B6A">
        <w:rPr>
          <w:rFonts w:cstheme="minorHAnsi"/>
          <w:bCs/>
          <w:i w:val="0"/>
          <w:noProof/>
          <w:color w:val="auto"/>
          <w:sz w:val="20"/>
          <w:szCs w:val="16"/>
        </w:rPr>
        <w:t>2</w:t>
      </w:r>
      <w:r w:rsidRPr="00FC5B6A">
        <w:rPr>
          <w:rFonts w:cstheme="minorHAnsi"/>
          <w:bCs/>
          <w:i w:val="0"/>
          <w:color w:val="auto"/>
          <w:sz w:val="20"/>
          <w:szCs w:val="16"/>
        </w:rPr>
        <w:fldChar w:fldCharType="end"/>
      </w:r>
      <w:bookmarkEnd w:id="26"/>
      <w:r w:rsidRPr="00FC5B6A">
        <w:rPr>
          <w:rFonts w:cstheme="minorHAnsi"/>
          <w:bCs/>
          <w:i w:val="0"/>
          <w:color w:val="auto"/>
          <w:sz w:val="20"/>
          <w:szCs w:val="16"/>
        </w:rPr>
        <w:t xml:space="preserve">. Esquema general del procesamiento de </w:t>
      </w:r>
      <w:r w:rsidR="00E4532D" w:rsidRPr="00FC5B6A">
        <w:rPr>
          <w:rFonts w:cstheme="minorHAnsi"/>
          <w:bCs/>
          <w:i w:val="0"/>
          <w:color w:val="auto"/>
          <w:sz w:val="20"/>
          <w:szCs w:val="16"/>
        </w:rPr>
        <w:t>la</w:t>
      </w:r>
      <w:r w:rsidRPr="00FC5B6A">
        <w:rPr>
          <w:rFonts w:cstheme="minorHAnsi"/>
          <w:bCs/>
          <w:i w:val="0"/>
          <w:color w:val="auto"/>
          <w:sz w:val="20"/>
          <w:szCs w:val="16"/>
        </w:rPr>
        <w:t xml:space="preserve"> Zonificación Ambiental de las Subregiones PDET basada en la conservación de la biodiversidad y sus servicios ecosistémicos.</w:t>
      </w:r>
      <w:bookmarkEnd w:id="27"/>
      <w:bookmarkEnd w:id="28"/>
    </w:p>
    <w:p w14:paraId="63588159" w14:textId="77777777" w:rsidR="00632BCE" w:rsidRPr="00FC5B6A" w:rsidRDefault="00632BCE" w:rsidP="00632BCE">
      <w:pPr>
        <w:spacing w:after="0" w:line="276" w:lineRule="auto"/>
        <w:jc w:val="center"/>
        <w:rPr>
          <w:rFonts w:cstheme="minorHAnsi"/>
          <w:b/>
          <w:color w:val="000000" w:themeColor="text1"/>
        </w:rPr>
      </w:pPr>
      <w:r w:rsidRPr="00FC5B6A">
        <w:rPr>
          <w:rFonts w:cstheme="minorHAnsi"/>
          <w:b/>
          <w:noProof/>
          <w:color w:val="000000" w:themeColor="text1"/>
          <w:lang w:eastAsia="es-CO"/>
        </w:rPr>
        <w:drawing>
          <wp:inline distT="0" distB="0" distL="0" distR="0" wp14:anchorId="729E4709" wp14:editId="4612124D">
            <wp:extent cx="4975166" cy="2845558"/>
            <wp:effectExtent l="0" t="0" r="0" b="0"/>
            <wp:docPr id="114709" name="Imagen 114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5052665" cy="2889884"/>
                    </a:xfrm>
                    <a:prstGeom prst="rect">
                      <a:avLst/>
                    </a:prstGeom>
                    <a:noFill/>
                  </pic:spPr>
                </pic:pic>
              </a:graphicData>
            </a:graphic>
          </wp:inline>
        </w:drawing>
      </w:r>
    </w:p>
    <w:p w14:paraId="08F76EB3" w14:textId="77777777" w:rsidR="007329BD" w:rsidRPr="00FC5B6A" w:rsidRDefault="007329BD" w:rsidP="003D449E">
      <w:pPr>
        <w:spacing w:after="0" w:line="276" w:lineRule="auto"/>
        <w:jc w:val="both"/>
        <w:rPr>
          <w:rFonts w:cstheme="minorHAnsi"/>
          <w:color w:val="000000" w:themeColor="text1"/>
        </w:rPr>
      </w:pPr>
    </w:p>
    <w:p w14:paraId="4B50A05C" w14:textId="4E3AACEC" w:rsidR="003D449E" w:rsidRPr="00FC5B6A" w:rsidRDefault="003D449E" w:rsidP="000C325D">
      <w:pPr>
        <w:spacing w:after="0" w:line="240" w:lineRule="auto"/>
        <w:jc w:val="both"/>
        <w:rPr>
          <w:rFonts w:cstheme="minorHAnsi"/>
          <w:color w:val="000000" w:themeColor="text1"/>
        </w:rPr>
      </w:pPr>
      <w:r w:rsidRPr="00FC5B6A">
        <w:rPr>
          <w:rFonts w:cstheme="minorHAnsi"/>
          <w:color w:val="000000" w:themeColor="text1"/>
        </w:rPr>
        <w:t xml:space="preserve">A continuación, se describe en detalle cada una de las 5 etapas que componen la metodología y se citan algunos ejemplos, que sin duda ilustran de mejor manera los resultados esperados en el proceso de </w:t>
      </w:r>
      <w:r w:rsidR="00137114" w:rsidRPr="00FC5B6A">
        <w:rPr>
          <w:rFonts w:cstheme="minorHAnsi"/>
          <w:color w:val="000000" w:themeColor="text1"/>
        </w:rPr>
        <w:t>la</w:t>
      </w:r>
      <w:r w:rsidRPr="00FC5B6A">
        <w:rPr>
          <w:rFonts w:cstheme="minorHAnsi"/>
          <w:color w:val="000000" w:themeColor="text1"/>
        </w:rPr>
        <w:t xml:space="preserve"> Zonificación Ambiental</w:t>
      </w:r>
      <w:r w:rsidR="00137114" w:rsidRPr="00FC5B6A">
        <w:rPr>
          <w:rFonts w:cstheme="minorHAnsi"/>
          <w:color w:val="000000" w:themeColor="text1"/>
        </w:rPr>
        <w:t xml:space="preserve"> a escala 1:100.000</w:t>
      </w:r>
      <w:r w:rsidRPr="00FC5B6A">
        <w:rPr>
          <w:rFonts w:cstheme="minorHAnsi"/>
          <w:color w:val="000000" w:themeColor="text1"/>
        </w:rPr>
        <w:t xml:space="preserve">. </w:t>
      </w:r>
    </w:p>
    <w:p w14:paraId="6F24D7A4" w14:textId="77777777" w:rsidR="003D449E" w:rsidRPr="00FC5B6A" w:rsidRDefault="003D449E" w:rsidP="000C325D">
      <w:pPr>
        <w:spacing w:after="0" w:line="240" w:lineRule="auto"/>
        <w:jc w:val="both"/>
        <w:rPr>
          <w:rFonts w:cstheme="minorHAnsi"/>
          <w:color w:val="000000" w:themeColor="text1"/>
        </w:rPr>
      </w:pPr>
    </w:p>
    <w:p w14:paraId="73718FD5" w14:textId="6CE4CFFE" w:rsidR="003D449E" w:rsidRPr="000C325D" w:rsidRDefault="003D449E" w:rsidP="000C325D">
      <w:pPr>
        <w:pStyle w:val="Ttulo3"/>
        <w:numPr>
          <w:ilvl w:val="2"/>
          <w:numId w:val="20"/>
        </w:numPr>
        <w:spacing w:before="0" w:line="240" w:lineRule="auto"/>
        <w:rPr>
          <w:rFonts w:asciiTheme="minorHAnsi" w:hAnsiTheme="minorHAnsi" w:cstheme="minorHAnsi"/>
          <w:noProof/>
          <w:color w:val="2F5496" w:themeColor="accent1" w:themeShade="BF"/>
        </w:rPr>
      </w:pPr>
      <w:bookmarkStart w:id="29" w:name="_Toc468460080"/>
      <w:bookmarkStart w:id="30" w:name="_Toc468716364"/>
      <w:bookmarkStart w:id="31" w:name="_Toc478398808"/>
      <w:bookmarkStart w:id="32" w:name="_Toc72330018"/>
      <w:bookmarkStart w:id="33" w:name="_Toc186104580"/>
      <w:bookmarkStart w:id="34" w:name="_Toc224921363"/>
      <w:r w:rsidRPr="000C325D">
        <w:rPr>
          <w:rFonts w:asciiTheme="minorHAnsi" w:hAnsiTheme="minorHAnsi" w:cstheme="minorHAnsi"/>
          <w:noProof/>
          <w:color w:val="2F5496" w:themeColor="accent1" w:themeShade="BF"/>
        </w:rPr>
        <w:t>ETAPA 1. Determinación de la Oferta Ambiental</w:t>
      </w:r>
      <w:bookmarkEnd w:id="29"/>
      <w:bookmarkEnd w:id="30"/>
      <w:bookmarkEnd w:id="31"/>
      <w:bookmarkEnd w:id="32"/>
      <w:bookmarkEnd w:id="33"/>
      <w:bookmarkEnd w:id="34"/>
    </w:p>
    <w:p w14:paraId="35F1D3A9" w14:textId="77777777" w:rsidR="00137114" w:rsidRPr="00FC5B6A" w:rsidRDefault="00137114" w:rsidP="000C325D">
      <w:pPr>
        <w:spacing w:after="0" w:line="240" w:lineRule="auto"/>
        <w:jc w:val="both"/>
        <w:rPr>
          <w:rFonts w:cstheme="minorHAnsi"/>
          <w:color w:val="000000" w:themeColor="text1"/>
        </w:rPr>
      </w:pPr>
    </w:p>
    <w:p w14:paraId="31705A89" w14:textId="3C08BAC4" w:rsidR="004C3855" w:rsidRPr="00FC5B6A" w:rsidRDefault="004C3855" w:rsidP="000C325D">
      <w:pPr>
        <w:spacing w:after="0" w:line="240" w:lineRule="auto"/>
        <w:jc w:val="both"/>
        <w:rPr>
          <w:rFonts w:cstheme="minorHAnsi"/>
          <w:color w:val="000000" w:themeColor="text1"/>
        </w:rPr>
      </w:pPr>
      <w:r w:rsidRPr="00FC5B6A">
        <w:rPr>
          <w:color w:val="000000" w:themeColor="text1"/>
        </w:rPr>
        <w:t xml:space="preserve">Utilizando el Primer Módulo del Protocolo ECOSER </w:t>
      </w:r>
      <w:bookmarkStart w:id="35" w:name="_Hlk481825058"/>
      <w:r w:rsidRPr="00FC5B6A">
        <w:rPr>
          <w:color w:val="000000" w:themeColor="text1"/>
        </w:rPr>
        <w:t>(Larrea et al. 2015)</w:t>
      </w:r>
      <w:bookmarkEnd w:id="35"/>
      <w:r w:rsidRPr="00FC5B6A">
        <w:rPr>
          <w:color w:val="000000" w:themeColor="text1"/>
        </w:rPr>
        <w:t xml:space="preserve">, esta etapa se inicia con la selección de los Servicios Ecosistémicos (SS.EE) que se consideran claves para el bienestar humano local del territorio de interés, y que se pueden </w:t>
      </w:r>
      <w:proofErr w:type="spellStart"/>
      <w:r w:rsidRPr="00FC5B6A">
        <w:rPr>
          <w:color w:val="000000" w:themeColor="text1"/>
        </w:rPr>
        <w:t>espacializar</w:t>
      </w:r>
      <w:proofErr w:type="spellEnd"/>
      <w:r w:rsidRPr="00FC5B6A">
        <w:rPr>
          <w:color w:val="000000" w:themeColor="text1"/>
        </w:rPr>
        <w:t xml:space="preserve"> por la disponibilidad de información. ECOSER es una herramienta informática orientada tanto al soporte de la toma de decisiones sobre uso del suelo, como a la investigación e integración disciplinaria y colaboración científica en torno a los flujos de Funciones Ecosistémicas (FF.EE) y Servicios Ecosistémicos (SS.EE)</w:t>
      </w:r>
      <w:r w:rsidRPr="00FC5B6A">
        <w:rPr>
          <w:rStyle w:val="Refdenotaalpie"/>
          <w:color w:val="000000" w:themeColor="text1"/>
        </w:rPr>
        <w:footnoteReference w:id="22"/>
      </w:r>
      <w:r w:rsidRPr="00FC5B6A">
        <w:rPr>
          <w:color w:val="000000" w:themeColor="text1"/>
        </w:rPr>
        <w:t>, su interacción y su captura por la sociedad. Así, esta herramienta consiste en un protocolo o conjunto de procedimientos, que permiten evaluar y mapear SS.EE y estimar la vulnerabilidad socio-ecológica frente a la pérdida de estos (Larrea et al. 2015).</w:t>
      </w:r>
    </w:p>
    <w:p w14:paraId="3C575366" w14:textId="77777777" w:rsidR="0033156F" w:rsidRPr="00FC5B6A" w:rsidRDefault="0033156F" w:rsidP="000C325D">
      <w:pPr>
        <w:spacing w:after="0" w:line="240" w:lineRule="auto"/>
        <w:jc w:val="both"/>
        <w:rPr>
          <w:rFonts w:cstheme="minorHAnsi"/>
          <w:color w:val="000000" w:themeColor="text1"/>
        </w:rPr>
      </w:pPr>
    </w:p>
    <w:p w14:paraId="5F8CFDB4" w14:textId="3B61A6C4" w:rsidR="0033156F" w:rsidRPr="00FC5B6A" w:rsidRDefault="0033156F" w:rsidP="000C325D">
      <w:pPr>
        <w:spacing w:after="0" w:line="240" w:lineRule="auto"/>
        <w:jc w:val="both"/>
        <w:rPr>
          <w:rFonts w:cstheme="minorHAnsi"/>
          <w:color w:val="000000" w:themeColor="text1"/>
        </w:rPr>
      </w:pPr>
      <w:r w:rsidRPr="00FC5B6A">
        <w:rPr>
          <w:rFonts w:cstheme="minorHAnsi"/>
          <w:color w:val="000000" w:themeColor="text1"/>
        </w:rPr>
        <w:lastRenderedPageBreak/>
        <w:t xml:space="preserve">El Primer Módulo de ECOSER conduce a la cuantificación, la integración y la cartografía de los diferentes componentes de la cascada de SS.EE (Haines-Young y </w:t>
      </w:r>
      <w:proofErr w:type="spellStart"/>
      <w:r w:rsidRPr="00FC5B6A">
        <w:rPr>
          <w:rFonts w:cstheme="minorHAnsi"/>
          <w:color w:val="000000" w:themeColor="text1"/>
        </w:rPr>
        <w:t>Potschin</w:t>
      </w:r>
      <w:proofErr w:type="spellEnd"/>
      <w:r w:rsidRPr="00FC5B6A">
        <w:rPr>
          <w:rFonts w:cstheme="minorHAnsi"/>
          <w:color w:val="000000" w:themeColor="text1"/>
        </w:rPr>
        <w:t xml:space="preserve"> 2010 y De Groot 2010) (</w:t>
      </w:r>
      <w:r w:rsidR="007329BD" w:rsidRPr="00FC5B6A">
        <w:rPr>
          <w:rFonts w:cstheme="minorHAnsi"/>
          <w:color w:val="FF0000"/>
        </w:rPr>
        <w:fldChar w:fldCharType="begin"/>
      </w:r>
      <w:r w:rsidR="007329BD" w:rsidRPr="00FC5B6A">
        <w:rPr>
          <w:rFonts w:cstheme="minorHAnsi"/>
          <w:color w:val="000000" w:themeColor="text1"/>
        </w:rPr>
        <w:instrText xml:space="preserve"> REF _Ref167531204 \h </w:instrText>
      </w:r>
      <w:r w:rsidR="006E0C08" w:rsidRPr="00FC5B6A">
        <w:rPr>
          <w:rFonts w:cstheme="minorHAnsi"/>
          <w:color w:val="FF0000"/>
        </w:rPr>
        <w:instrText xml:space="preserve"> \* MERGEFORMAT </w:instrText>
      </w:r>
      <w:r w:rsidR="007329BD" w:rsidRPr="00FC5B6A">
        <w:rPr>
          <w:rFonts w:cstheme="minorHAnsi"/>
          <w:color w:val="FF0000"/>
        </w:rPr>
      </w:r>
      <w:r w:rsidR="007329BD" w:rsidRPr="00FC5B6A">
        <w:rPr>
          <w:rFonts w:cstheme="minorHAnsi"/>
          <w:color w:val="FF0000"/>
        </w:rPr>
        <w:fldChar w:fldCharType="separate"/>
      </w:r>
      <w:proofErr w:type="gramStart"/>
      <w:r w:rsidR="00E74A31" w:rsidRPr="00FC5B6A">
        <w:rPr>
          <w:rFonts w:cstheme="minorHAnsi"/>
        </w:rPr>
        <w:t>Figura  3</w:t>
      </w:r>
      <w:proofErr w:type="gramEnd"/>
      <w:r w:rsidR="007329BD" w:rsidRPr="00FC5B6A">
        <w:rPr>
          <w:rFonts w:cstheme="minorHAnsi"/>
          <w:color w:val="FF0000"/>
        </w:rPr>
        <w:fldChar w:fldCharType="end"/>
      </w:r>
      <w:r w:rsidRPr="00FC5B6A">
        <w:rPr>
          <w:rFonts w:cstheme="minorHAnsi"/>
          <w:color w:val="000000" w:themeColor="text1"/>
        </w:rPr>
        <w:t>). Para esto, hay dos pasos fundamentales para esta metodología de zonificación: a) la evaluación de las FF.EE y/o paisajes, a partir de la selección de atributos que se combinan dentro de variables sustitutas, o proxys, basadas en índices o modelos de procesos para representar FF.EE (o SS.EE intermedios, sensu Fisher et al. 2009) y b) la evaluación de SS.EE a partir de la o las FF.EE que los soportan (considerando que en general, un SS.EE dado, resulta de la interacción entre distintas FF.EE) (Larrea et al. 2015).</w:t>
      </w:r>
    </w:p>
    <w:p w14:paraId="3EEDB9AF" w14:textId="77777777" w:rsidR="0033156F" w:rsidRPr="00FC5B6A" w:rsidRDefault="0033156F" w:rsidP="000C325D">
      <w:pPr>
        <w:spacing w:after="0" w:line="240" w:lineRule="auto"/>
        <w:jc w:val="both"/>
        <w:rPr>
          <w:rFonts w:cstheme="minorHAnsi"/>
          <w:color w:val="000000" w:themeColor="text1"/>
        </w:rPr>
      </w:pPr>
    </w:p>
    <w:p w14:paraId="082D177F" w14:textId="70140271" w:rsidR="00384169" w:rsidRPr="00FC5B6A" w:rsidRDefault="00384169" w:rsidP="000C325D">
      <w:pPr>
        <w:pStyle w:val="Descripcin"/>
        <w:keepNext/>
        <w:spacing w:after="0"/>
        <w:jc w:val="center"/>
        <w:rPr>
          <w:rFonts w:cstheme="minorHAnsi"/>
          <w:bCs/>
          <w:i w:val="0"/>
          <w:color w:val="auto"/>
          <w:sz w:val="20"/>
          <w:szCs w:val="16"/>
        </w:rPr>
      </w:pPr>
      <w:bookmarkStart w:id="36" w:name="_Ref167531204"/>
      <w:bookmarkStart w:id="37" w:name="_Toc170133220"/>
      <w:r w:rsidRPr="00FC5B6A">
        <w:rPr>
          <w:rFonts w:cstheme="minorHAnsi"/>
          <w:bCs/>
          <w:i w:val="0"/>
          <w:color w:val="auto"/>
          <w:sz w:val="20"/>
          <w:szCs w:val="16"/>
        </w:rPr>
        <w:t xml:space="preserve">Figura  </w:t>
      </w:r>
      <w:r w:rsidRPr="00FC5B6A">
        <w:rPr>
          <w:rFonts w:cstheme="minorHAnsi"/>
          <w:bCs/>
          <w:i w:val="0"/>
          <w:color w:val="auto"/>
          <w:sz w:val="20"/>
          <w:szCs w:val="16"/>
        </w:rPr>
        <w:fldChar w:fldCharType="begin"/>
      </w:r>
      <w:r w:rsidRPr="00FC5B6A">
        <w:rPr>
          <w:rFonts w:cstheme="minorHAnsi"/>
          <w:bCs/>
          <w:i w:val="0"/>
          <w:color w:val="auto"/>
          <w:sz w:val="20"/>
          <w:szCs w:val="16"/>
        </w:rPr>
        <w:instrText xml:space="preserve"> SEQ Figura_ \* ARABIC </w:instrText>
      </w:r>
      <w:r w:rsidRPr="00FC5B6A">
        <w:rPr>
          <w:rFonts w:cstheme="minorHAnsi"/>
          <w:bCs/>
          <w:i w:val="0"/>
          <w:color w:val="auto"/>
          <w:sz w:val="20"/>
          <w:szCs w:val="16"/>
        </w:rPr>
        <w:fldChar w:fldCharType="separate"/>
      </w:r>
      <w:r w:rsidR="00E74A31" w:rsidRPr="00FC5B6A">
        <w:rPr>
          <w:rFonts w:cstheme="minorHAnsi"/>
          <w:bCs/>
          <w:i w:val="0"/>
          <w:noProof/>
          <w:color w:val="auto"/>
          <w:sz w:val="20"/>
          <w:szCs w:val="16"/>
        </w:rPr>
        <w:t>3</w:t>
      </w:r>
      <w:r w:rsidRPr="00FC5B6A">
        <w:rPr>
          <w:rFonts w:cstheme="minorHAnsi"/>
          <w:bCs/>
          <w:i w:val="0"/>
          <w:color w:val="auto"/>
          <w:sz w:val="20"/>
          <w:szCs w:val="16"/>
        </w:rPr>
        <w:fldChar w:fldCharType="end"/>
      </w:r>
      <w:bookmarkEnd w:id="36"/>
      <w:r w:rsidRPr="00FC5B6A">
        <w:rPr>
          <w:rFonts w:cstheme="minorHAnsi"/>
          <w:bCs/>
          <w:i w:val="0"/>
          <w:color w:val="auto"/>
          <w:sz w:val="20"/>
          <w:szCs w:val="16"/>
        </w:rPr>
        <w:t xml:space="preserve"> Modelo conceptual de cascada de Servicios Ecosistémicos vincula</w:t>
      </w:r>
      <w:r w:rsidR="009C2F67" w:rsidRPr="00FC5B6A">
        <w:rPr>
          <w:rFonts w:cstheme="minorHAnsi"/>
          <w:bCs/>
          <w:i w:val="0"/>
          <w:color w:val="auto"/>
          <w:sz w:val="20"/>
          <w:szCs w:val="16"/>
        </w:rPr>
        <w:t>dos a</w:t>
      </w:r>
      <w:r w:rsidRPr="00FC5B6A">
        <w:rPr>
          <w:rFonts w:cstheme="minorHAnsi"/>
          <w:bCs/>
          <w:i w:val="0"/>
          <w:color w:val="auto"/>
          <w:sz w:val="20"/>
          <w:szCs w:val="16"/>
        </w:rPr>
        <w:t>l bienestar humano.</w:t>
      </w:r>
      <w:bookmarkEnd w:id="37"/>
      <w:r w:rsidRPr="00FC5B6A">
        <w:rPr>
          <w:rFonts w:cstheme="minorHAnsi"/>
          <w:bCs/>
          <w:i w:val="0"/>
          <w:color w:val="auto"/>
          <w:sz w:val="20"/>
          <w:szCs w:val="16"/>
        </w:rPr>
        <w:t xml:space="preserve"> </w:t>
      </w:r>
    </w:p>
    <w:p w14:paraId="40F93981" w14:textId="5BF5A325" w:rsidR="0033156F" w:rsidRPr="00FC5B6A" w:rsidRDefault="0033156F" w:rsidP="000C325D">
      <w:pPr>
        <w:spacing w:after="0" w:line="240" w:lineRule="auto"/>
        <w:jc w:val="center"/>
        <w:rPr>
          <w:rFonts w:cstheme="minorHAnsi"/>
          <w:color w:val="000000" w:themeColor="text1"/>
        </w:rPr>
      </w:pPr>
      <w:r w:rsidRPr="00FC5B6A">
        <w:rPr>
          <w:rFonts w:cstheme="minorHAnsi"/>
          <w:noProof/>
          <w:color w:val="000000" w:themeColor="text1"/>
          <w:lang w:eastAsia="es-CO"/>
        </w:rPr>
        <w:drawing>
          <wp:inline distT="0" distB="0" distL="0" distR="0" wp14:anchorId="445E59DC" wp14:editId="3E54FE85">
            <wp:extent cx="4530136" cy="2810435"/>
            <wp:effectExtent l="0" t="0" r="3810"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email">
                      <a:extLst>
                        <a:ext uri="{28A0092B-C50C-407E-A947-70E740481C1C}">
                          <a14:useLocalDpi xmlns:a14="http://schemas.microsoft.com/office/drawing/2010/main"/>
                        </a:ext>
                      </a:extLst>
                    </a:blip>
                    <a:stretch>
                      <a:fillRect/>
                    </a:stretch>
                  </pic:blipFill>
                  <pic:spPr>
                    <a:xfrm>
                      <a:off x="0" y="0"/>
                      <a:ext cx="4545945" cy="2820243"/>
                    </a:xfrm>
                    <a:prstGeom prst="rect">
                      <a:avLst/>
                    </a:prstGeom>
                  </pic:spPr>
                </pic:pic>
              </a:graphicData>
            </a:graphic>
          </wp:inline>
        </w:drawing>
      </w:r>
    </w:p>
    <w:p w14:paraId="7980A9B0" w14:textId="3CD88923" w:rsidR="009C2F67" w:rsidRPr="00FC5B6A" w:rsidRDefault="009C2F67" w:rsidP="000C325D">
      <w:pPr>
        <w:spacing w:after="0" w:line="240" w:lineRule="auto"/>
        <w:jc w:val="center"/>
        <w:rPr>
          <w:rFonts w:cstheme="minorHAnsi"/>
          <w:color w:val="000000" w:themeColor="text1"/>
        </w:rPr>
      </w:pPr>
      <w:r w:rsidRPr="00FC5B6A">
        <w:rPr>
          <w:rFonts w:cstheme="minorHAnsi"/>
          <w:bCs/>
          <w:sz w:val="20"/>
          <w:szCs w:val="16"/>
        </w:rPr>
        <w:t xml:space="preserve">Fuente: Adaptado de Haines-Young y </w:t>
      </w:r>
      <w:proofErr w:type="spellStart"/>
      <w:r w:rsidRPr="00FC5B6A">
        <w:rPr>
          <w:rFonts w:cstheme="minorHAnsi"/>
          <w:bCs/>
          <w:sz w:val="20"/>
          <w:szCs w:val="16"/>
        </w:rPr>
        <w:t>Potschin</w:t>
      </w:r>
      <w:proofErr w:type="spellEnd"/>
      <w:r w:rsidRPr="00FC5B6A">
        <w:rPr>
          <w:rFonts w:cstheme="minorHAnsi"/>
          <w:bCs/>
          <w:sz w:val="20"/>
          <w:szCs w:val="16"/>
        </w:rPr>
        <w:t xml:space="preserve"> (2010) y De Groot (2010)</w:t>
      </w:r>
    </w:p>
    <w:p w14:paraId="694D6F39" w14:textId="77777777" w:rsidR="0045334D" w:rsidRPr="00FC5B6A" w:rsidRDefault="0045334D" w:rsidP="000C325D">
      <w:pPr>
        <w:spacing w:after="0" w:line="240" w:lineRule="auto"/>
        <w:jc w:val="both"/>
        <w:rPr>
          <w:rFonts w:cstheme="minorHAnsi"/>
          <w:color w:val="000000" w:themeColor="text1"/>
        </w:rPr>
      </w:pPr>
    </w:p>
    <w:p w14:paraId="653940FC" w14:textId="12768EB5" w:rsidR="0033156F" w:rsidRPr="00FC5B6A" w:rsidRDefault="0033156F" w:rsidP="000C325D">
      <w:pPr>
        <w:spacing w:after="0" w:line="240" w:lineRule="auto"/>
        <w:jc w:val="both"/>
        <w:rPr>
          <w:rFonts w:cstheme="minorHAnsi"/>
          <w:color w:val="000000" w:themeColor="text1"/>
        </w:rPr>
      </w:pPr>
      <w:r w:rsidRPr="00FC5B6A">
        <w:rPr>
          <w:rFonts w:cstheme="minorHAnsi"/>
          <w:color w:val="000000" w:themeColor="text1"/>
        </w:rPr>
        <w:t xml:space="preserve">La selección de los SS.EE partió de un listado general inicial realizado por criterio experto, a partir de la lista inicial de SS.EE, se utilizaron 10 parámetros, definidos por el Protocolo ECOSER (Larrea et al. 2015), para definir cuáles de los SS.EE iniciales eran realmente factibles de </w:t>
      </w:r>
      <w:proofErr w:type="spellStart"/>
      <w:r w:rsidRPr="00FC5B6A">
        <w:rPr>
          <w:rFonts w:cstheme="minorHAnsi"/>
          <w:color w:val="000000" w:themeColor="text1"/>
        </w:rPr>
        <w:t>espacializar</w:t>
      </w:r>
      <w:proofErr w:type="spellEnd"/>
      <w:r w:rsidRPr="00FC5B6A">
        <w:rPr>
          <w:rFonts w:cstheme="minorHAnsi"/>
          <w:color w:val="000000" w:themeColor="text1"/>
        </w:rPr>
        <w:t>. Los parámetros utilizados para evaluar cada uno de los SS.EE, fueron:</w:t>
      </w:r>
    </w:p>
    <w:p w14:paraId="4A52D273" w14:textId="77777777" w:rsidR="0045334D" w:rsidRPr="00FC5B6A" w:rsidRDefault="0045334D" w:rsidP="000C325D">
      <w:pPr>
        <w:spacing w:after="0" w:line="240" w:lineRule="auto"/>
        <w:jc w:val="both"/>
        <w:rPr>
          <w:rFonts w:cstheme="minorHAnsi"/>
          <w:color w:val="000000" w:themeColor="text1"/>
        </w:rPr>
      </w:pPr>
    </w:p>
    <w:p w14:paraId="607EECE5" w14:textId="77777777" w:rsidR="0033156F" w:rsidRPr="00FC5B6A" w:rsidRDefault="0033156F" w:rsidP="000C325D">
      <w:pPr>
        <w:pStyle w:val="Prrafodelista"/>
        <w:numPr>
          <w:ilvl w:val="0"/>
          <w:numId w:val="9"/>
        </w:numPr>
        <w:ind w:left="0" w:firstLine="0"/>
        <w:rPr>
          <w:rFonts w:eastAsiaTheme="minorHAnsi" w:cstheme="minorHAnsi"/>
          <w:color w:val="000000" w:themeColor="text1"/>
          <w:kern w:val="2"/>
          <w:sz w:val="22"/>
          <w14:ligatures w14:val="standardContextual"/>
        </w:rPr>
      </w:pPr>
      <w:r w:rsidRPr="00FC5B6A">
        <w:rPr>
          <w:rFonts w:eastAsiaTheme="minorHAnsi" w:cstheme="minorHAnsi"/>
          <w:color w:val="000000" w:themeColor="text1"/>
          <w:kern w:val="2"/>
          <w:sz w:val="22"/>
          <w14:ligatures w14:val="standardContextual"/>
        </w:rPr>
        <w:t>Congruencia con el modelo de cascada (A)</w:t>
      </w:r>
    </w:p>
    <w:p w14:paraId="0052F5DF" w14:textId="77777777" w:rsidR="0033156F" w:rsidRPr="00FC5B6A" w:rsidRDefault="0033156F" w:rsidP="000C325D">
      <w:pPr>
        <w:pStyle w:val="Prrafodelista"/>
        <w:numPr>
          <w:ilvl w:val="0"/>
          <w:numId w:val="9"/>
        </w:numPr>
        <w:ind w:left="0" w:firstLine="0"/>
        <w:rPr>
          <w:rFonts w:eastAsiaTheme="minorHAnsi" w:cstheme="minorHAnsi"/>
          <w:color w:val="000000" w:themeColor="text1"/>
          <w:kern w:val="2"/>
          <w:sz w:val="22"/>
          <w14:ligatures w14:val="standardContextual"/>
        </w:rPr>
      </w:pPr>
      <w:r w:rsidRPr="00FC5B6A">
        <w:rPr>
          <w:rFonts w:eastAsiaTheme="minorHAnsi" w:cstheme="minorHAnsi"/>
          <w:color w:val="000000" w:themeColor="text1"/>
          <w:kern w:val="2"/>
          <w:sz w:val="22"/>
          <w14:ligatures w14:val="standardContextual"/>
        </w:rPr>
        <w:t>Disponibilidad de datos apropiados (B)</w:t>
      </w:r>
      <w:r w:rsidRPr="00FC5B6A">
        <w:rPr>
          <w:rFonts w:eastAsiaTheme="minorHAnsi" w:cstheme="minorHAnsi"/>
          <w:color w:val="000000" w:themeColor="text1"/>
          <w:kern w:val="2"/>
          <w:sz w:val="22"/>
          <w14:ligatures w14:val="standardContextual"/>
        </w:rPr>
        <w:tab/>
      </w:r>
    </w:p>
    <w:p w14:paraId="09AF15FA" w14:textId="77777777" w:rsidR="0033156F" w:rsidRPr="00FC5B6A" w:rsidRDefault="0033156F" w:rsidP="000C325D">
      <w:pPr>
        <w:pStyle w:val="Prrafodelista"/>
        <w:numPr>
          <w:ilvl w:val="0"/>
          <w:numId w:val="9"/>
        </w:numPr>
        <w:ind w:left="0" w:firstLine="0"/>
        <w:rPr>
          <w:rFonts w:eastAsiaTheme="minorHAnsi" w:cstheme="minorHAnsi"/>
          <w:color w:val="000000" w:themeColor="text1"/>
          <w:kern w:val="2"/>
          <w:sz w:val="22"/>
          <w14:ligatures w14:val="standardContextual"/>
        </w:rPr>
      </w:pPr>
      <w:r w:rsidRPr="00FC5B6A">
        <w:rPr>
          <w:rFonts w:eastAsiaTheme="minorHAnsi" w:cstheme="minorHAnsi"/>
          <w:color w:val="000000" w:themeColor="text1"/>
          <w:kern w:val="2"/>
          <w:sz w:val="22"/>
          <w14:ligatures w14:val="standardContextual"/>
        </w:rPr>
        <w:t xml:space="preserve">Estructura Ecológica (EE) Nacional (2012/2014) (C) </w:t>
      </w:r>
    </w:p>
    <w:p w14:paraId="1CEAC083" w14:textId="77777777" w:rsidR="0033156F" w:rsidRPr="00FC5B6A" w:rsidRDefault="0033156F" w:rsidP="000C325D">
      <w:pPr>
        <w:pStyle w:val="Prrafodelista"/>
        <w:numPr>
          <w:ilvl w:val="0"/>
          <w:numId w:val="9"/>
        </w:numPr>
        <w:ind w:left="0" w:firstLine="0"/>
        <w:rPr>
          <w:rFonts w:eastAsiaTheme="minorHAnsi" w:cstheme="minorHAnsi"/>
          <w:color w:val="000000" w:themeColor="text1"/>
          <w:kern w:val="2"/>
          <w:sz w:val="22"/>
          <w14:ligatures w14:val="standardContextual"/>
        </w:rPr>
      </w:pPr>
      <w:r w:rsidRPr="00FC5B6A">
        <w:rPr>
          <w:rFonts w:eastAsiaTheme="minorHAnsi" w:cstheme="minorHAnsi"/>
          <w:color w:val="000000" w:themeColor="text1"/>
          <w:kern w:val="2"/>
          <w:sz w:val="22"/>
          <w14:ligatures w14:val="standardContextual"/>
        </w:rPr>
        <w:t>Valor Ecológico del SS.EE (D)</w:t>
      </w:r>
      <w:r w:rsidRPr="00FC5B6A">
        <w:rPr>
          <w:rFonts w:eastAsiaTheme="minorHAnsi" w:cstheme="minorHAnsi"/>
          <w:color w:val="000000" w:themeColor="text1"/>
          <w:kern w:val="2"/>
          <w:sz w:val="22"/>
          <w14:ligatures w14:val="standardContextual"/>
        </w:rPr>
        <w:tab/>
      </w:r>
    </w:p>
    <w:p w14:paraId="74E81547" w14:textId="77777777" w:rsidR="0033156F" w:rsidRPr="00FC5B6A" w:rsidRDefault="0033156F" w:rsidP="000C325D">
      <w:pPr>
        <w:pStyle w:val="Prrafodelista"/>
        <w:numPr>
          <w:ilvl w:val="0"/>
          <w:numId w:val="9"/>
        </w:numPr>
        <w:ind w:left="0" w:firstLine="0"/>
        <w:rPr>
          <w:rFonts w:eastAsiaTheme="minorHAnsi" w:cstheme="minorHAnsi"/>
          <w:color w:val="000000" w:themeColor="text1"/>
          <w:kern w:val="2"/>
          <w:sz w:val="22"/>
          <w14:ligatures w14:val="standardContextual"/>
        </w:rPr>
      </w:pPr>
      <w:r w:rsidRPr="00FC5B6A">
        <w:rPr>
          <w:rFonts w:eastAsiaTheme="minorHAnsi" w:cstheme="minorHAnsi"/>
          <w:color w:val="000000" w:themeColor="text1"/>
          <w:kern w:val="2"/>
          <w:sz w:val="22"/>
          <w14:ligatures w14:val="standardContextual"/>
        </w:rPr>
        <w:t>Intensidad del vínculo entre el SS.EE y el bienestar humano (E)</w:t>
      </w:r>
    </w:p>
    <w:p w14:paraId="0685427D" w14:textId="77777777" w:rsidR="0033156F" w:rsidRPr="00FC5B6A" w:rsidRDefault="0033156F" w:rsidP="000C325D">
      <w:pPr>
        <w:pStyle w:val="Prrafodelista"/>
        <w:numPr>
          <w:ilvl w:val="0"/>
          <w:numId w:val="9"/>
        </w:numPr>
        <w:ind w:left="0" w:firstLine="0"/>
        <w:rPr>
          <w:rFonts w:eastAsiaTheme="minorHAnsi" w:cstheme="minorHAnsi"/>
          <w:color w:val="000000" w:themeColor="text1"/>
          <w:kern w:val="2"/>
          <w:sz w:val="22"/>
          <w14:ligatures w14:val="standardContextual"/>
        </w:rPr>
      </w:pPr>
      <w:r w:rsidRPr="00FC5B6A">
        <w:rPr>
          <w:rFonts w:eastAsiaTheme="minorHAnsi" w:cstheme="minorHAnsi"/>
          <w:color w:val="000000" w:themeColor="text1"/>
          <w:kern w:val="2"/>
          <w:sz w:val="22"/>
          <w14:ligatures w14:val="standardContextual"/>
        </w:rPr>
        <w:t>Importancia para las comunidades humanas locales (F)</w:t>
      </w:r>
    </w:p>
    <w:p w14:paraId="415470AE" w14:textId="77777777" w:rsidR="0033156F" w:rsidRPr="00FC5B6A" w:rsidRDefault="0033156F" w:rsidP="000C325D">
      <w:pPr>
        <w:pStyle w:val="Prrafodelista"/>
        <w:numPr>
          <w:ilvl w:val="0"/>
          <w:numId w:val="9"/>
        </w:numPr>
        <w:ind w:left="0" w:firstLine="0"/>
        <w:rPr>
          <w:rFonts w:eastAsiaTheme="minorHAnsi" w:cstheme="minorHAnsi"/>
          <w:color w:val="000000" w:themeColor="text1"/>
          <w:kern w:val="2"/>
          <w:sz w:val="22"/>
          <w14:ligatures w14:val="standardContextual"/>
        </w:rPr>
      </w:pPr>
      <w:r w:rsidRPr="00FC5B6A">
        <w:rPr>
          <w:rFonts w:eastAsiaTheme="minorHAnsi" w:cstheme="minorHAnsi"/>
          <w:color w:val="000000" w:themeColor="text1"/>
          <w:kern w:val="2"/>
          <w:sz w:val="22"/>
          <w14:ligatures w14:val="standardContextual"/>
        </w:rPr>
        <w:t>Exposición al cambio climático (G)</w:t>
      </w:r>
    </w:p>
    <w:p w14:paraId="5F7390AF" w14:textId="77777777" w:rsidR="0033156F" w:rsidRPr="00FC5B6A" w:rsidRDefault="0033156F" w:rsidP="000C325D">
      <w:pPr>
        <w:pStyle w:val="Prrafodelista"/>
        <w:numPr>
          <w:ilvl w:val="0"/>
          <w:numId w:val="9"/>
        </w:numPr>
        <w:ind w:left="0" w:firstLine="0"/>
        <w:rPr>
          <w:rFonts w:eastAsiaTheme="minorHAnsi" w:cstheme="minorHAnsi"/>
          <w:color w:val="000000" w:themeColor="text1"/>
          <w:kern w:val="2"/>
          <w:sz w:val="22"/>
          <w14:ligatures w14:val="standardContextual"/>
        </w:rPr>
      </w:pPr>
      <w:r w:rsidRPr="00FC5B6A">
        <w:rPr>
          <w:rFonts w:eastAsiaTheme="minorHAnsi" w:cstheme="minorHAnsi"/>
          <w:color w:val="000000" w:themeColor="text1"/>
          <w:kern w:val="2"/>
          <w:sz w:val="22"/>
          <w14:ligatures w14:val="standardContextual"/>
        </w:rPr>
        <w:t>Sensibilidad al cambio climático (H)</w:t>
      </w:r>
    </w:p>
    <w:p w14:paraId="6F8282BB" w14:textId="77777777" w:rsidR="0033156F" w:rsidRPr="00FC5B6A" w:rsidRDefault="0033156F" w:rsidP="000C325D">
      <w:pPr>
        <w:pStyle w:val="Prrafodelista"/>
        <w:numPr>
          <w:ilvl w:val="0"/>
          <w:numId w:val="9"/>
        </w:numPr>
        <w:ind w:left="0" w:firstLine="0"/>
        <w:rPr>
          <w:rFonts w:eastAsiaTheme="minorHAnsi" w:cstheme="minorHAnsi"/>
          <w:color w:val="000000" w:themeColor="text1"/>
          <w:kern w:val="2"/>
          <w:sz w:val="22"/>
          <w14:ligatures w14:val="standardContextual"/>
        </w:rPr>
      </w:pPr>
      <w:r w:rsidRPr="00FC5B6A">
        <w:rPr>
          <w:rFonts w:eastAsiaTheme="minorHAnsi" w:cstheme="minorHAnsi"/>
          <w:color w:val="000000" w:themeColor="text1"/>
          <w:kern w:val="2"/>
          <w:sz w:val="22"/>
          <w14:ligatures w14:val="standardContextual"/>
        </w:rPr>
        <w:t>Exposición al cambio del uso del suelo (I)</w:t>
      </w:r>
    </w:p>
    <w:p w14:paraId="7CDE351E" w14:textId="77777777" w:rsidR="0033156F" w:rsidRPr="00FC5B6A" w:rsidRDefault="0033156F" w:rsidP="000C325D">
      <w:pPr>
        <w:pStyle w:val="Prrafodelista"/>
        <w:numPr>
          <w:ilvl w:val="0"/>
          <w:numId w:val="9"/>
        </w:numPr>
        <w:ind w:left="0" w:firstLine="0"/>
        <w:rPr>
          <w:rFonts w:eastAsiaTheme="minorHAnsi" w:cstheme="minorHAnsi"/>
          <w:color w:val="000000" w:themeColor="text1"/>
          <w:kern w:val="2"/>
          <w:sz w:val="22"/>
          <w14:ligatures w14:val="standardContextual"/>
        </w:rPr>
      </w:pPr>
      <w:r w:rsidRPr="00FC5B6A">
        <w:rPr>
          <w:rFonts w:eastAsiaTheme="minorHAnsi" w:cstheme="minorHAnsi"/>
          <w:color w:val="000000" w:themeColor="text1"/>
          <w:kern w:val="2"/>
          <w:sz w:val="22"/>
          <w14:ligatures w14:val="standardContextual"/>
        </w:rPr>
        <w:t>Sensibilidad al cambio de uso del suelo (J)</w:t>
      </w:r>
    </w:p>
    <w:p w14:paraId="73A8C365" w14:textId="77777777" w:rsidR="0033156F" w:rsidRPr="00FC5B6A" w:rsidRDefault="0033156F" w:rsidP="000C325D">
      <w:pPr>
        <w:spacing w:after="0" w:line="240" w:lineRule="auto"/>
        <w:jc w:val="both"/>
        <w:rPr>
          <w:rFonts w:cstheme="minorHAnsi"/>
          <w:color w:val="000000" w:themeColor="text1"/>
        </w:rPr>
      </w:pPr>
    </w:p>
    <w:p w14:paraId="2C5CF181" w14:textId="729A8D59" w:rsidR="0033156F" w:rsidRPr="00FC5B6A" w:rsidRDefault="0033156F" w:rsidP="000C325D">
      <w:pPr>
        <w:spacing w:after="0" w:line="240" w:lineRule="auto"/>
        <w:jc w:val="both"/>
        <w:rPr>
          <w:rFonts w:cstheme="minorHAnsi"/>
          <w:color w:val="000000" w:themeColor="text1"/>
        </w:rPr>
      </w:pPr>
      <w:r w:rsidRPr="00FC5B6A">
        <w:rPr>
          <w:rFonts w:cstheme="minorHAnsi"/>
          <w:color w:val="000000" w:themeColor="text1"/>
        </w:rPr>
        <w:t xml:space="preserve">Para evaluar los SS.EE identificados, cada uno de los 10 parámetros fue calificado de cero (0) a tres (3) respecto al cumplimiento de cada SS.EE del criterio evaluado. Finalmente, las calificaciones de </w:t>
      </w:r>
      <w:r w:rsidRPr="00FC5B6A">
        <w:rPr>
          <w:rFonts w:cstheme="minorHAnsi"/>
          <w:color w:val="000000" w:themeColor="text1"/>
        </w:rPr>
        <w:lastRenderedPageBreak/>
        <w:t xml:space="preserve">cada SS.EE para cada parámetro fueron ponderadas utilizando una fórmula que permite descartar aquellos SS.EE que no fueran congruentes con el modelo de cascada, es decir, no son Servicios Ecosistémicos (Figura 3), o no tuvieran la disponibilidad de datos apropiados para su </w:t>
      </w:r>
      <w:proofErr w:type="spellStart"/>
      <w:r w:rsidRPr="00FC5B6A">
        <w:rPr>
          <w:rFonts w:cstheme="minorHAnsi"/>
          <w:color w:val="000000" w:themeColor="text1"/>
        </w:rPr>
        <w:t>espacialización</w:t>
      </w:r>
      <w:proofErr w:type="spellEnd"/>
      <w:r w:rsidRPr="00FC5B6A">
        <w:rPr>
          <w:rFonts w:cstheme="minorHAnsi"/>
          <w:color w:val="000000" w:themeColor="text1"/>
        </w:rPr>
        <w:t xml:space="preserve"> (</w:t>
      </w:r>
      <w:r w:rsidR="007329BD" w:rsidRPr="00FC5B6A">
        <w:rPr>
          <w:rFonts w:cstheme="minorHAnsi"/>
          <w:color w:val="FF0000"/>
        </w:rPr>
        <w:fldChar w:fldCharType="begin"/>
      </w:r>
      <w:r w:rsidR="007329BD" w:rsidRPr="00FC5B6A">
        <w:rPr>
          <w:rFonts w:cstheme="minorHAnsi"/>
          <w:color w:val="000000" w:themeColor="text1"/>
        </w:rPr>
        <w:instrText xml:space="preserve"> REF _Ref167531305 \h </w:instrText>
      </w:r>
      <w:r w:rsidR="006E0C08" w:rsidRPr="00FC5B6A">
        <w:rPr>
          <w:rFonts w:cstheme="minorHAnsi"/>
          <w:color w:val="FF0000"/>
        </w:rPr>
        <w:instrText xml:space="preserve"> \* MERGEFORMAT </w:instrText>
      </w:r>
      <w:r w:rsidR="007329BD" w:rsidRPr="00FC5B6A">
        <w:rPr>
          <w:rFonts w:cstheme="minorHAnsi"/>
          <w:color w:val="FF0000"/>
        </w:rPr>
      </w:r>
      <w:r w:rsidR="007329BD" w:rsidRPr="00FC5B6A">
        <w:rPr>
          <w:rFonts w:cstheme="minorHAnsi"/>
          <w:color w:val="FF0000"/>
        </w:rPr>
        <w:fldChar w:fldCharType="separate"/>
      </w:r>
      <w:proofErr w:type="gramStart"/>
      <w:r w:rsidR="00E74A31" w:rsidRPr="00FC5B6A">
        <w:rPr>
          <w:rFonts w:cstheme="minorHAnsi"/>
        </w:rPr>
        <w:t>Figura  4</w:t>
      </w:r>
      <w:proofErr w:type="gramEnd"/>
      <w:r w:rsidR="007329BD" w:rsidRPr="00FC5B6A">
        <w:rPr>
          <w:rFonts w:cstheme="minorHAnsi"/>
          <w:color w:val="FF0000"/>
        </w:rPr>
        <w:fldChar w:fldCharType="end"/>
      </w:r>
      <w:r w:rsidRPr="00FC5B6A">
        <w:rPr>
          <w:rFonts w:cstheme="minorHAnsi"/>
          <w:color w:val="000000" w:themeColor="text1"/>
        </w:rPr>
        <w:t xml:space="preserve">). Los SS.EE que obtienen los mayores valores en la calificación final son los finalmente seleccionados para ser </w:t>
      </w:r>
      <w:proofErr w:type="spellStart"/>
      <w:r w:rsidRPr="00FC5B6A">
        <w:rPr>
          <w:rFonts w:cstheme="minorHAnsi"/>
          <w:color w:val="000000" w:themeColor="text1"/>
        </w:rPr>
        <w:t>espacializados</w:t>
      </w:r>
      <w:proofErr w:type="spellEnd"/>
      <w:r w:rsidRPr="00FC5B6A">
        <w:rPr>
          <w:rFonts w:cstheme="minorHAnsi"/>
          <w:color w:val="000000" w:themeColor="text1"/>
        </w:rPr>
        <w:t xml:space="preserve"> (</w:t>
      </w:r>
      <w:r w:rsidR="00047840" w:rsidRPr="00FC5B6A">
        <w:rPr>
          <w:rFonts w:cstheme="minorHAnsi"/>
          <w:color w:val="FF0000"/>
        </w:rPr>
        <w:fldChar w:fldCharType="begin"/>
      </w:r>
      <w:r w:rsidR="00047840" w:rsidRPr="00FC5B6A">
        <w:rPr>
          <w:rFonts w:cstheme="minorHAnsi"/>
          <w:color w:val="000000" w:themeColor="text1"/>
        </w:rPr>
        <w:instrText xml:space="preserve"> REF _Ref167531377 \h </w:instrText>
      </w:r>
      <w:r w:rsidR="006E0C08" w:rsidRPr="00FC5B6A">
        <w:rPr>
          <w:rFonts w:cstheme="minorHAnsi"/>
          <w:color w:val="FF0000"/>
        </w:rPr>
        <w:instrText xml:space="preserve"> \* MERGEFORMAT </w:instrText>
      </w:r>
      <w:r w:rsidR="00047840" w:rsidRPr="00FC5B6A">
        <w:rPr>
          <w:rFonts w:cstheme="minorHAnsi"/>
          <w:color w:val="FF0000"/>
        </w:rPr>
      </w:r>
      <w:r w:rsidR="00047840" w:rsidRPr="00FC5B6A">
        <w:rPr>
          <w:rFonts w:cstheme="minorHAnsi"/>
          <w:color w:val="FF0000"/>
        </w:rPr>
        <w:fldChar w:fldCharType="separate"/>
      </w:r>
      <w:r w:rsidR="00E74A31" w:rsidRPr="00FC5B6A">
        <w:rPr>
          <w:rFonts w:cstheme="minorHAnsi"/>
        </w:rPr>
        <w:t>Tabla 2</w:t>
      </w:r>
      <w:r w:rsidR="00047840" w:rsidRPr="00FC5B6A">
        <w:rPr>
          <w:rFonts w:cstheme="minorHAnsi"/>
          <w:color w:val="FF0000"/>
        </w:rPr>
        <w:fldChar w:fldCharType="end"/>
      </w:r>
      <w:r w:rsidRPr="00FC5B6A">
        <w:rPr>
          <w:rFonts w:cstheme="minorHAnsi"/>
          <w:color w:val="000000" w:themeColor="text1"/>
        </w:rPr>
        <w:t>).</w:t>
      </w:r>
    </w:p>
    <w:p w14:paraId="71EDD906" w14:textId="77777777" w:rsidR="007329BD" w:rsidRPr="00FC5B6A" w:rsidRDefault="007329BD" w:rsidP="000C325D">
      <w:pPr>
        <w:pStyle w:val="Descripcin"/>
        <w:spacing w:after="0"/>
        <w:rPr>
          <w:rFonts w:cstheme="minorHAnsi"/>
          <w:color w:val="000000" w:themeColor="text1"/>
        </w:rPr>
      </w:pPr>
    </w:p>
    <w:p w14:paraId="3BAA2EB6" w14:textId="40D66A69" w:rsidR="007329BD" w:rsidRPr="00FC5B6A" w:rsidRDefault="007329BD" w:rsidP="00384169">
      <w:pPr>
        <w:pStyle w:val="Descripcin"/>
        <w:keepNext/>
        <w:jc w:val="center"/>
        <w:rPr>
          <w:rFonts w:cstheme="minorHAnsi"/>
          <w:bCs/>
          <w:i w:val="0"/>
          <w:color w:val="auto"/>
          <w:sz w:val="20"/>
          <w:szCs w:val="16"/>
        </w:rPr>
      </w:pPr>
      <w:bookmarkStart w:id="38" w:name="_Ref167531305"/>
      <w:bookmarkStart w:id="39" w:name="_Toc170133221"/>
      <w:r w:rsidRPr="00FC5B6A">
        <w:rPr>
          <w:rFonts w:cstheme="minorHAnsi"/>
          <w:bCs/>
          <w:i w:val="0"/>
          <w:color w:val="auto"/>
          <w:sz w:val="20"/>
          <w:szCs w:val="16"/>
        </w:rPr>
        <w:t xml:space="preserve">Figura  </w:t>
      </w:r>
      <w:r w:rsidRPr="00FC5B6A">
        <w:rPr>
          <w:rFonts w:cstheme="minorHAnsi"/>
          <w:bCs/>
          <w:i w:val="0"/>
          <w:color w:val="auto"/>
          <w:sz w:val="20"/>
          <w:szCs w:val="16"/>
        </w:rPr>
        <w:fldChar w:fldCharType="begin"/>
      </w:r>
      <w:r w:rsidRPr="00FC5B6A">
        <w:rPr>
          <w:rFonts w:cstheme="minorHAnsi"/>
          <w:bCs/>
          <w:i w:val="0"/>
          <w:color w:val="auto"/>
          <w:sz w:val="20"/>
          <w:szCs w:val="16"/>
        </w:rPr>
        <w:instrText xml:space="preserve"> SEQ Figura_ \* ARABIC </w:instrText>
      </w:r>
      <w:r w:rsidRPr="00FC5B6A">
        <w:rPr>
          <w:rFonts w:cstheme="minorHAnsi"/>
          <w:bCs/>
          <w:i w:val="0"/>
          <w:color w:val="auto"/>
          <w:sz w:val="20"/>
          <w:szCs w:val="16"/>
        </w:rPr>
        <w:fldChar w:fldCharType="separate"/>
      </w:r>
      <w:r w:rsidR="00E74A31" w:rsidRPr="00FC5B6A">
        <w:rPr>
          <w:rFonts w:cstheme="minorHAnsi"/>
          <w:bCs/>
          <w:i w:val="0"/>
          <w:noProof/>
          <w:color w:val="auto"/>
          <w:sz w:val="20"/>
          <w:szCs w:val="16"/>
        </w:rPr>
        <w:t>4</w:t>
      </w:r>
      <w:r w:rsidRPr="00FC5B6A">
        <w:rPr>
          <w:rFonts w:cstheme="minorHAnsi"/>
          <w:bCs/>
          <w:i w:val="0"/>
          <w:color w:val="auto"/>
          <w:sz w:val="20"/>
          <w:szCs w:val="16"/>
        </w:rPr>
        <w:fldChar w:fldCharType="end"/>
      </w:r>
      <w:bookmarkEnd w:id="38"/>
      <w:r w:rsidRPr="00FC5B6A">
        <w:rPr>
          <w:rFonts w:cstheme="minorHAnsi"/>
          <w:bCs/>
          <w:i w:val="0"/>
          <w:color w:val="auto"/>
          <w:sz w:val="20"/>
          <w:szCs w:val="16"/>
        </w:rPr>
        <w:t>. Fórmula utilizada para la ponderación de cada uno de los Servicios Ecosistémicos</w:t>
      </w:r>
      <w:bookmarkEnd w:id="39"/>
    </w:p>
    <w:p w14:paraId="07DB5842" w14:textId="03ABD01D" w:rsidR="0033156F" w:rsidRPr="00FC5B6A" w:rsidRDefault="007329BD" w:rsidP="0033156F">
      <w:pPr>
        <w:spacing w:after="0" w:line="276" w:lineRule="auto"/>
        <w:jc w:val="both"/>
        <w:rPr>
          <w:rFonts w:cstheme="minorHAnsi"/>
          <w:color w:val="000000" w:themeColor="text1"/>
        </w:rPr>
      </w:pPr>
      <w:r w:rsidRPr="00FC5B6A">
        <w:rPr>
          <w:rFonts w:cstheme="minorHAnsi"/>
          <w:noProof/>
          <w:color w:val="000000" w:themeColor="text1"/>
          <w:lang w:eastAsia="es-CO"/>
        </w:rPr>
        <mc:AlternateContent>
          <mc:Choice Requires="wps">
            <w:drawing>
              <wp:anchor distT="45720" distB="45720" distL="114300" distR="114300" simplePos="0" relativeHeight="251673600" behindDoc="0" locked="0" layoutInCell="1" allowOverlap="1" wp14:anchorId="09D6496B" wp14:editId="587EFCD6">
                <wp:simplePos x="0" y="0"/>
                <wp:positionH relativeFrom="column">
                  <wp:posOffset>1857375</wp:posOffset>
                </wp:positionH>
                <wp:positionV relativeFrom="paragraph">
                  <wp:posOffset>42545</wp:posOffset>
                </wp:positionV>
                <wp:extent cx="2360930" cy="1404620"/>
                <wp:effectExtent l="0" t="0" r="22225" b="17145"/>
                <wp:wrapSquare wrapText="bothSides"/>
                <wp:docPr id="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19050">
                          <a:solidFill>
                            <a:schemeClr val="accent6">
                              <a:lumMod val="75000"/>
                            </a:schemeClr>
                          </a:solidFill>
                          <a:miter lim="800000"/>
                          <a:headEnd/>
                          <a:tailEnd/>
                        </a:ln>
                      </wps:spPr>
                      <wps:txbx>
                        <w:txbxContent>
                          <w:p w14:paraId="2840FA6E" w14:textId="77777777" w:rsidR="0033156F" w:rsidRPr="0033156F" w:rsidRDefault="0033156F" w:rsidP="0033156F">
                            <w:pPr>
                              <w:spacing w:after="0"/>
                              <w:jc w:val="center"/>
                              <w:rPr>
                                <w:lang w:val="en-US"/>
                              </w:rPr>
                            </w:pPr>
                            <w:r w:rsidRPr="0033156F">
                              <w:rPr>
                                <w:color w:val="525252" w:themeColor="accent3" w:themeShade="80"/>
                                <w:lang w:val="en-US"/>
                              </w:rPr>
                              <w:t>“A*B*(C+D+E+F+G+H+I+J)"</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9D6496B" id="_x0000_t202" coordsize="21600,21600" o:spt="202" path="m,l,21600r21600,l21600,xe">
                <v:stroke joinstyle="miter"/>
                <v:path gradientshapeok="t" o:connecttype="rect"/>
              </v:shapetype>
              <v:shape id="Cuadro de texto 2" o:spid="_x0000_s1026" type="#_x0000_t202" style="position:absolute;left:0;text-align:left;margin-left:146.25pt;margin-top:3.35pt;width:185.9pt;height:110.6pt;z-index:25167360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" strokecolor="#538135 [2409]" strokeweight="1.5pt">
                <v:textbox style="mso-fit-shape-to-text:t">
                  <w:txbxContent>
                    <w:p w14:paraId="2840FA6E" w14:textId="77777777" w:rsidR="0033156F" w:rsidRPr="0033156F" w:rsidRDefault="0033156F" w:rsidP="0033156F">
                      <w:pPr>
                        <w:spacing w:after="0"/>
                        <w:jc w:val="center"/>
                        <w:rPr>
                          <w:lang w:val="en-US"/>
                        </w:rPr>
                      </w:pPr>
                      <w:r w:rsidRPr="0033156F">
                        <w:rPr>
                          <w:color w:val="525252" w:themeColor="accent3" w:themeShade="80"/>
                          <w:lang w:val="en-US"/>
                        </w:rPr>
                        <w:t>“A*B*(C+D+E+F+G+H+I+J)"</w:t>
                      </w:r>
                    </w:p>
                  </w:txbxContent>
                </v:textbox>
                <w10:wrap type="square"/>
              </v:shape>
            </w:pict>
          </mc:Fallback>
        </mc:AlternateContent>
      </w:r>
    </w:p>
    <w:p w14:paraId="0F7FEBBB" w14:textId="77777777" w:rsidR="0033156F" w:rsidRPr="00FC5B6A" w:rsidRDefault="0033156F" w:rsidP="0033156F">
      <w:pPr>
        <w:rPr>
          <w:rFonts w:cstheme="minorHAnsi"/>
          <w:color w:val="000000" w:themeColor="text1"/>
        </w:rPr>
      </w:pPr>
    </w:p>
    <w:p w14:paraId="6A3DF0CC" w14:textId="77777777" w:rsidR="005373D7" w:rsidRPr="00FC5B6A" w:rsidRDefault="005373D7" w:rsidP="0033156F">
      <w:pPr>
        <w:rPr>
          <w:rFonts w:cstheme="minorHAnsi"/>
          <w:color w:val="000000" w:themeColor="text1"/>
        </w:rPr>
      </w:pPr>
    </w:p>
    <w:p w14:paraId="39831B1C" w14:textId="33861B21" w:rsidR="0033156F" w:rsidRPr="00E74796" w:rsidRDefault="007329BD" w:rsidP="00E74796">
      <w:pPr>
        <w:pStyle w:val="FIGYTAB"/>
      </w:pPr>
      <w:bookmarkStart w:id="40" w:name="_Ref167531377"/>
      <w:bookmarkStart w:id="41" w:name="_Toc478482916"/>
      <w:bookmarkStart w:id="42" w:name="_Toc170124916"/>
      <w:r w:rsidRPr="00E74796">
        <w:t xml:space="preserve">Tabla </w:t>
      </w:r>
      <w:r>
        <w:fldChar w:fldCharType="begin"/>
      </w:r>
      <w:r>
        <w:instrText>SEQ Tabla \* ARABIC</w:instrText>
      </w:r>
      <w:r>
        <w:fldChar w:fldCharType="separate"/>
      </w:r>
      <w:r w:rsidR="00E74796">
        <w:rPr>
          <w:noProof/>
        </w:rPr>
        <w:t>4</w:t>
      </w:r>
      <w:r>
        <w:fldChar w:fldCharType="end"/>
      </w:r>
      <w:bookmarkEnd w:id="40"/>
      <w:r w:rsidR="0033156F" w:rsidRPr="00E74796">
        <w:t xml:space="preserve">. </w:t>
      </w:r>
      <w:r w:rsidRPr="00E74796">
        <w:t xml:space="preserve">Calificación </w:t>
      </w:r>
      <w:r w:rsidR="0033156F" w:rsidRPr="00E74796">
        <w:t>de los Servicios Ecosistémicos</w:t>
      </w:r>
      <w:bookmarkEnd w:id="41"/>
      <w:r w:rsidR="0033156F" w:rsidRPr="00E74796">
        <w:t>.</w:t>
      </w:r>
      <w:bookmarkEnd w:id="42"/>
    </w:p>
    <w:tbl>
      <w:tblPr>
        <w:tblStyle w:val="Tablaconcuadrcula6concolores-nfasis1"/>
        <w:tblW w:w="5158" w:type="pct"/>
        <w:tblLayout w:type="fixed"/>
        <w:tblLook w:val="04A0" w:firstRow="1" w:lastRow="0" w:firstColumn="1" w:lastColumn="0" w:noHBand="0" w:noVBand="1"/>
      </w:tblPr>
      <w:tblGrid>
        <w:gridCol w:w="2445"/>
        <w:gridCol w:w="671"/>
        <w:gridCol w:w="342"/>
        <w:gridCol w:w="466"/>
        <w:gridCol w:w="415"/>
        <w:gridCol w:w="678"/>
        <w:gridCol w:w="678"/>
        <w:gridCol w:w="608"/>
        <w:gridCol w:w="608"/>
        <w:gridCol w:w="608"/>
        <w:gridCol w:w="608"/>
        <w:gridCol w:w="980"/>
      </w:tblGrid>
      <w:tr w:rsidR="0033156F" w:rsidRPr="00FC5B6A" w14:paraId="6CAAD71A" w14:textId="77777777" w:rsidTr="00DE3A1A">
        <w:trPr>
          <w:cnfStyle w:val="100000000000" w:firstRow="1" w:lastRow="0" w:firstColumn="0" w:lastColumn="0" w:oddVBand="0" w:evenVBand="0" w:oddHBand="0" w:evenHBand="0" w:firstRowFirstColumn="0" w:firstRowLastColumn="0" w:lastRowFirstColumn="0" w:lastRowLastColumn="0"/>
          <w:trHeight w:val="2040"/>
          <w:tblHeader/>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75B3C128" w14:textId="77777777" w:rsidR="0033156F" w:rsidRPr="00FC5B6A" w:rsidRDefault="0033156F" w:rsidP="00D56EE9">
            <w:pPr>
              <w:spacing w:line="276" w:lineRule="auto"/>
              <w:jc w:val="both"/>
              <w:rPr>
                <w:rFonts w:eastAsia="Times New Roman" w:cstheme="minorHAnsi"/>
                <w:b w:val="0"/>
                <w:bCs w:val="0"/>
                <w:color w:val="000000" w:themeColor="text1"/>
                <w:sz w:val="16"/>
                <w:lang w:eastAsia="es-CO"/>
              </w:rPr>
            </w:pPr>
            <w:r w:rsidRPr="00FC5B6A">
              <w:rPr>
                <w:rFonts w:eastAsia="Times New Roman" w:cstheme="minorHAnsi"/>
                <w:color w:val="000000" w:themeColor="text1"/>
                <w:sz w:val="16"/>
                <w:lang w:eastAsia="es-CO"/>
              </w:rPr>
              <w:t xml:space="preserve">Servicio </w:t>
            </w:r>
            <w:proofErr w:type="spellStart"/>
            <w:r w:rsidRPr="00FC5B6A">
              <w:rPr>
                <w:rFonts w:eastAsia="Times New Roman" w:cstheme="minorHAnsi"/>
                <w:color w:val="000000" w:themeColor="text1"/>
                <w:sz w:val="16"/>
                <w:lang w:eastAsia="es-CO"/>
              </w:rPr>
              <w:t>Ecosistémico</w:t>
            </w:r>
            <w:proofErr w:type="spellEnd"/>
          </w:p>
        </w:tc>
        <w:tc>
          <w:tcPr>
            <w:tcW w:w="368" w:type="pct"/>
            <w:textDirection w:val="btLr"/>
            <w:vAlign w:val="center"/>
            <w:hideMark/>
          </w:tcPr>
          <w:p w14:paraId="0C062062" w14:textId="77777777" w:rsidR="0033156F" w:rsidRPr="00FC5B6A" w:rsidRDefault="0033156F" w:rsidP="00D56EE9">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000000" w:themeColor="text1"/>
                <w:sz w:val="16"/>
                <w:lang w:val="es-CO" w:eastAsia="es-CO"/>
              </w:rPr>
            </w:pPr>
            <w:r w:rsidRPr="00FC5B6A">
              <w:rPr>
                <w:rFonts w:eastAsia="Times New Roman" w:cstheme="minorHAnsi"/>
                <w:color w:val="000000" w:themeColor="text1"/>
                <w:sz w:val="16"/>
                <w:lang w:val="es-CO" w:eastAsia="es-CO"/>
              </w:rPr>
              <w:t>A. Congruencia con el modelo de cascada</w:t>
            </w:r>
          </w:p>
        </w:tc>
        <w:tc>
          <w:tcPr>
            <w:tcW w:w="188" w:type="pct"/>
            <w:textDirection w:val="btLr"/>
            <w:vAlign w:val="center"/>
            <w:hideMark/>
          </w:tcPr>
          <w:p w14:paraId="62150506" w14:textId="77777777" w:rsidR="0033156F" w:rsidRPr="00FC5B6A" w:rsidRDefault="0033156F" w:rsidP="00D56EE9">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000000" w:themeColor="text1"/>
                <w:sz w:val="16"/>
                <w:lang w:val="es-CO" w:eastAsia="es-CO"/>
              </w:rPr>
            </w:pPr>
            <w:r w:rsidRPr="00FC5B6A">
              <w:rPr>
                <w:rFonts w:eastAsia="Times New Roman" w:cstheme="minorHAnsi"/>
                <w:color w:val="000000" w:themeColor="text1"/>
                <w:sz w:val="16"/>
                <w:lang w:val="es-CO" w:eastAsia="es-CO"/>
              </w:rPr>
              <w:t>B. Disponibilidad de datos apropiados</w:t>
            </w:r>
          </w:p>
        </w:tc>
        <w:tc>
          <w:tcPr>
            <w:tcW w:w="256" w:type="pct"/>
            <w:textDirection w:val="btLr"/>
            <w:vAlign w:val="center"/>
            <w:hideMark/>
          </w:tcPr>
          <w:p w14:paraId="5B6EA493" w14:textId="77777777" w:rsidR="0033156F" w:rsidRPr="00FC5B6A" w:rsidRDefault="0033156F" w:rsidP="00D56EE9">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000000" w:themeColor="text1"/>
                <w:sz w:val="16"/>
                <w:lang w:eastAsia="es-CO"/>
              </w:rPr>
            </w:pPr>
            <w:r w:rsidRPr="00FC5B6A">
              <w:rPr>
                <w:rFonts w:eastAsia="Times New Roman" w:cstheme="minorHAnsi"/>
                <w:color w:val="000000" w:themeColor="text1"/>
                <w:sz w:val="16"/>
                <w:lang w:eastAsia="es-CO"/>
              </w:rPr>
              <w:t>C. EE Nacional (2012/2014)</w:t>
            </w:r>
          </w:p>
        </w:tc>
        <w:tc>
          <w:tcPr>
            <w:tcW w:w="228" w:type="pct"/>
            <w:textDirection w:val="btLr"/>
            <w:vAlign w:val="center"/>
            <w:hideMark/>
          </w:tcPr>
          <w:p w14:paraId="3EAC7CBC" w14:textId="77777777" w:rsidR="0033156F" w:rsidRPr="00FC5B6A" w:rsidRDefault="0033156F" w:rsidP="00D56EE9">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000000" w:themeColor="text1"/>
                <w:sz w:val="16"/>
                <w:lang w:val="es-CO" w:eastAsia="es-CO"/>
              </w:rPr>
            </w:pPr>
            <w:r w:rsidRPr="00FC5B6A">
              <w:rPr>
                <w:rFonts w:eastAsia="Times New Roman" w:cstheme="minorHAnsi"/>
                <w:color w:val="000000" w:themeColor="text1"/>
                <w:sz w:val="16"/>
                <w:lang w:val="es-CO" w:eastAsia="es-CO"/>
              </w:rPr>
              <w:t>D. Valor Ecológico del SE</w:t>
            </w:r>
          </w:p>
        </w:tc>
        <w:tc>
          <w:tcPr>
            <w:tcW w:w="372" w:type="pct"/>
            <w:textDirection w:val="btLr"/>
            <w:vAlign w:val="center"/>
            <w:hideMark/>
          </w:tcPr>
          <w:p w14:paraId="7A3A1042" w14:textId="77777777" w:rsidR="0033156F" w:rsidRPr="00FC5B6A" w:rsidRDefault="0033156F" w:rsidP="00D56EE9">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000000" w:themeColor="text1"/>
                <w:sz w:val="16"/>
                <w:lang w:val="es-CO" w:eastAsia="es-CO"/>
              </w:rPr>
            </w:pPr>
            <w:r w:rsidRPr="00FC5B6A">
              <w:rPr>
                <w:rFonts w:eastAsia="Times New Roman" w:cstheme="minorHAnsi"/>
                <w:color w:val="000000" w:themeColor="text1"/>
                <w:sz w:val="16"/>
                <w:lang w:val="es-CO" w:eastAsia="es-CO"/>
              </w:rPr>
              <w:t>E. Intensidad del vínculo entre el SE y el bienestar humano</w:t>
            </w:r>
          </w:p>
        </w:tc>
        <w:tc>
          <w:tcPr>
            <w:tcW w:w="372" w:type="pct"/>
            <w:textDirection w:val="btLr"/>
            <w:vAlign w:val="center"/>
            <w:hideMark/>
          </w:tcPr>
          <w:p w14:paraId="208EBD9F" w14:textId="77777777" w:rsidR="0033156F" w:rsidRPr="00FC5B6A" w:rsidRDefault="0033156F" w:rsidP="00D56EE9">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000000" w:themeColor="text1"/>
                <w:sz w:val="16"/>
                <w:lang w:val="es-CO" w:eastAsia="es-CO"/>
              </w:rPr>
            </w:pPr>
            <w:r w:rsidRPr="00FC5B6A">
              <w:rPr>
                <w:rFonts w:eastAsia="Times New Roman" w:cstheme="minorHAnsi"/>
                <w:color w:val="000000" w:themeColor="text1"/>
                <w:sz w:val="16"/>
                <w:lang w:val="es-CO" w:eastAsia="es-CO"/>
              </w:rPr>
              <w:t>F. Importancia para las comunidades humanas locales</w:t>
            </w:r>
          </w:p>
        </w:tc>
        <w:tc>
          <w:tcPr>
            <w:tcW w:w="334" w:type="pct"/>
            <w:textDirection w:val="btLr"/>
            <w:vAlign w:val="center"/>
            <w:hideMark/>
          </w:tcPr>
          <w:p w14:paraId="1F0D4A2A" w14:textId="77777777" w:rsidR="0033156F" w:rsidRPr="00FC5B6A" w:rsidRDefault="0033156F" w:rsidP="00D56EE9">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000000" w:themeColor="text1"/>
                <w:sz w:val="16"/>
                <w:lang w:val="es-CO" w:eastAsia="es-CO"/>
              </w:rPr>
            </w:pPr>
            <w:r w:rsidRPr="00FC5B6A">
              <w:rPr>
                <w:rFonts w:eastAsia="Times New Roman" w:cstheme="minorHAnsi"/>
                <w:color w:val="000000" w:themeColor="text1"/>
                <w:sz w:val="16"/>
                <w:lang w:val="es-CO" w:eastAsia="es-CO"/>
              </w:rPr>
              <w:t>G. Exposición al cambio climático</w:t>
            </w:r>
          </w:p>
        </w:tc>
        <w:tc>
          <w:tcPr>
            <w:tcW w:w="334" w:type="pct"/>
            <w:textDirection w:val="btLr"/>
            <w:vAlign w:val="center"/>
            <w:hideMark/>
          </w:tcPr>
          <w:p w14:paraId="5BE2F915" w14:textId="77777777" w:rsidR="0033156F" w:rsidRPr="00FC5B6A" w:rsidRDefault="0033156F" w:rsidP="00D56EE9">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000000" w:themeColor="text1"/>
                <w:sz w:val="16"/>
                <w:lang w:val="es-CO" w:eastAsia="es-CO"/>
              </w:rPr>
            </w:pPr>
            <w:r w:rsidRPr="00FC5B6A">
              <w:rPr>
                <w:rFonts w:eastAsia="Times New Roman" w:cstheme="minorHAnsi"/>
                <w:color w:val="000000" w:themeColor="text1"/>
                <w:sz w:val="16"/>
                <w:lang w:val="es-CO" w:eastAsia="es-CO"/>
              </w:rPr>
              <w:t>H. Sensibilidad al cambio climático</w:t>
            </w:r>
          </w:p>
        </w:tc>
        <w:tc>
          <w:tcPr>
            <w:tcW w:w="334" w:type="pct"/>
            <w:textDirection w:val="btLr"/>
            <w:vAlign w:val="center"/>
            <w:hideMark/>
          </w:tcPr>
          <w:p w14:paraId="2D7A93F0" w14:textId="77777777" w:rsidR="0033156F" w:rsidRPr="00FC5B6A" w:rsidRDefault="0033156F" w:rsidP="00D56EE9">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000000" w:themeColor="text1"/>
                <w:sz w:val="16"/>
                <w:lang w:val="es-CO" w:eastAsia="es-CO"/>
              </w:rPr>
            </w:pPr>
            <w:r w:rsidRPr="00FC5B6A">
              <w:rPr>
                <w:rFonts w:eastAsia="Times New Roman" w:cstheme="minorHAnsi"/>
                <w:color w:val="000000" w:themeColor="text1"/>
                <w:sz w:val="16"/>
                <w:lang w:val="es-CO" w:eastAsia="es-CO"/>
              </w:rPr>
              <w:t>I. Exposición al cambio del uso del suelo</w:t>
            </w:r>
          </w:p>
        </w:tc>
        <w:tc>
          <w:tcPr>
            <w:tcW w:w="334" w:type="pct"/>
            <w:textDirection w:val="btLr"/>
            <w:vAlign w:val="center"/>
            <w:hideMark/>
          </w:tcPr>
          <w:p w14:paraId="528A3AF3" w14:textId="77777777" w:rsidR="0033156F" w:rsidRPr="00FC5B6A" w:rsidRDefault="0033156F" w:rsidP="00D56EE9">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000000" w:themeColor="text1"/>
                <w:sz w:val="16"/>
                <w:lang w:val="es-CO" w:eastAsia="es-CO"/>
              </w:rPr>
            </w:pPr>
            <w:r w:rsidRPr="00FC5B6A">
              <w:rPr>
                <w:rFonts w:eastAsia="Times New Roman" w:cstheme="minorHAnsi"/>
                <w:color w:val="000000" w:themeColor="text1"/>
                <w:sz w:val="16"/>
                <w:lang w:val="es-CO" w:eastAsia="es-CO"/>
              </w:rPr>
              <w:t>J. Sensibilidad al cambio de uso del suelo</w:t>
            </w:r>
          </w:p>
        </w:tc>
        <w:tc>
          <w:tcPr>
            <w:tcW w:w="538" w:type="pct"/>
            <w:vAlign w:val="center"/>
            <w:hideMark/>
          </w:tcPr>
          <w:p w14:paraId="1C04512C" w14:textId="77777777" w:rsidR="0033156F" w:rsidRPr="00FC5B6A" w:rsidRDefault="0033156F" w:rsidP="00D56EE9">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color w:val="000000" w:themeColor="text1"/>
                <w:sz w:val="16"/>
                <w:lang w:eastAsia="es-CO"/>
              </w:rPr>
            </w:pPr>
            <w:proofErr w:type="spellStart"/>
            <w:r w:rsidRPr="00FC5B6A">
              <w:rPr>
                <w:rFonts w:eastAsia="Times New Roman" w:cstheme="minorHAnsi"/>
                <w:color w:val="000000" w:themeColor="text1"/>
                <w:sz w:val="16"/>
                <w:lang w:eastAsia="es-CO"/>
              </w:rPr>
              <w:t>Calificación</w:t>
            </w:r>
            <w:proofErr w:type="spellEnd"/>
            <w:r w:rsidRPr="00FC5B6A">
              <w:rPr>
                <w:rFonts w:eastAsia="Times New Roman" w:cstheme="minorHAnsi"/>
                <w:color w:val="000000" w:themeColor="text1"/>
                <w:sz w:val="16"/>
                <w:lang w:eastAsia="es-CO"/>
              </w:rPr>
              <w:t xml:space="preserve"> final</w:t>
            </w:r>
          </w:p>
        </w:tc>
      </w:tr>
      <w:tr w:rsidR="006E0C08" w:rsidRPr="00FC5B6A" w14:paraId="64326859" w14:textId="77777777" w:rsidTr="00DE3A1A">
        <w:trPr>
          <w:cnfStyle w:val="000000100000" w:firstRow="0" w:lastRow="0" w:firstColumn="0" w:lastColumn="0" w:oddVBand="0" w:evenVBand="0" w:oddHBand="1" w:evenHBand="0" w:firstRowFirstColumn="0" w:firstRowLastColumn="0" w:lastRowFirstColumn="0" w:lastRowLastColumn="0"/>
          <w:trHeight w:val="538"/>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710B03A4"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auto"/>
                <w:sz w:val="16"/>
                <w:lang w:val="es-CO" w:eastAsia="es-CO"/>
              </w:rPr>
              <w:t>Provisión/Oferta de agua superficial</w:t>
            </w:r>
          </w:p>
        </w:tc>
        <w:tc>
          <w:tcPr>
            <w:tcW w:w="368" w:type="pct"/>
            <w:vAlign w:val="center"/>
            <w:hideMark/>
          </w:tcPr>
          <w:p w14:paraId="4E97ACE1"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2BD008C9"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66EDC0B6"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228" w:type="pct"/>
            <w:vAlign w:val="center"/>
            <w:hideMark/>
          </w:tcPr>
          <w:p w14:paraId="4A070113"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09C11284"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4EF018E9"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6BF87D01"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36E091D0"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6046BB8B"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14959B51"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4A74216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24</w:t>
            </w:r>
          </w:p>
        </w:tc>
      </w:tr>
      <w:tr w:rsidR="0033156F" w:rsidRPr="00FC5B6A" w14:paraId="499D3A09" w14:textId="77777777" w:rsidTr="00DE3A1A">
        <w:trPr>
          <w:trHeight w:val="432"/>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7CDA08CD"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Provisión/Oferta de agua subterránea</w:t>
            </w:r>
          </w:p>
        </w:tc>
        <w:tc>
          <w:tcPr>
            <w:tcW w:w="368" w:type="pct"/>
            <w:vAlign w:val="center"/>
            <w:hideMark/>
          </w:tcPr>
          <w:p w14:paraId="5390A4F2"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6F14B725"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08C3017A"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28" w:type="pct"/>
            <w:vAlign w:val="center"/>
            <w:hideMark/>
          </w:tcPr>
          <w:p w14:paraId="3C1C62B0"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2802CAB6"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0E277A9E"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1B97B25A"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25A1EDF4"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50327983"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3B6C888E"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4DBF93FD"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19</w:t>
            </w:r>
          </w:p>
        </w:tc>
      </w:tr>
      <w:tr w:rsidR="006E0C08" w:rsidRPr="00FC5B6A" w14:paraId="5465C0B7" w14:textId="77777777" w:rsidTr="00DE3A1A">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2FC83F0A"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Oferta/Producción de recursos maderables</w:t>
            </w:r>
          </w:p>
        </w:tc>
        <w:tc>
          <w:tcPr>
            <w:tcW w:w="368" w:type="pct"/>
            <w:vAlign w:val="center"/>
            <w:hideMark/>
          </w:tcPr>
          <w:p w14:paraId="30273F52"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6CB4FAB6"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760314B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28" w:type="pct"/>
            <w:vAlign w:val="center"/>
            <w:hideMark/>
          </w:tcPr>
          <w:p w14:paraId="6F3ED9BE"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59343473"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42CD054E"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4E515FE5"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22D8B6E0"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6EEC6B51"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7EDDE840"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2223D9C3"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20</w:t>
            </w:r>
          </w:p>
        </w:tc>
      </w:tr>
      <w:tr w:rsidR="0033156F" w:rsidRPr="00FC5B6A" w14:paraId="21544578" w14:textId="77777777" w:rsidTr="00DE3A1A">
        <w:trPr>
          <w:trHeight w:val="374"/>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5E9F1321" w14:textId="77777777" w:rsidR="0033156F" w:rsidRPr="00FC5B6A" w:rsidRDefault="0033156F" w:rsidP="00D56EE9">
            <w:pPr>
              <w:spacing w:line="276" w:lineRule="auto"/>
              <w:rPr>
                <w:rFonts w:eastAsia="Times New Roman" w:cstheme="minorHAnsi"/>
                <w:color w:val="000000" w:themeColor="text1"/>
                <w:sz w:val="16"/>
                <w:lang w:eastAsia="es-CO"/>
              </w:rPr>
            </w:pPr>
            <w:proofErr w:type="spellStart"/>
            <w:r w:rsidRPr="00FC5B6A">
              <w:rPr>
                <w:rFonts w:eastAsia="Times New Roman" w:cstheme="minorHAnsi"/>
                <w:color w:val="000000" w:themeColor="text1"/>
                <w:sz w:val="16"/>
                <w:lang w:eastAsia="es-CO"/>
              </w:rPr>
              <w:t>Producción</w:t>
            </w:r>
            <w:proofErr w:type="spellEnd"/>
            <w:r w:rsidRPr="00FC5B6A">
              <w:rPr>
                <w:rFonts w:eastAsia="Times New Roman" w:cstheme="minorHAnsi"/>
                <w:color w:val="000000" w:themeColor="text1"/>
                <w:sz w:val="16"/>
                <w:lang w:eastAsia="es-CO"/>
              </w:rPr>
              <w:t xml:space="preserve"> </w:t>
            </w:r>
            <w:proofErr w:type="spellStart"/>
            <w:r w:rsidRPr="00FC5B6A">
              <w:rPr>
                <w:rFonts w:eastAsia="Times New Roman" w:cstheme="minorHAnsi"/>
                <w:color w:val="000000" w:themeColor="text1"/>
                <w:sz w:val="16"/>
                <w:lang w:eastAsia="es-CO"/>
              </w:rPr>
              <w:t>potencial</w:t>
            </w:r>
            <w:proofErr w:type="spellEnd"/>
            <w:r w:rsidRPr="00FC5B6A">
              <w:rPr>
                <w:rFonts w:eastAsia="Times New Roman" w:cstheme="minorHAnsi"/>
                <w:color w:val="000000" w:themeColor="text1"/>
                <w:sz w:val="16"/>
                <w:lang w:eastAsia="es-CO"/>
              </w:rPr>
              <w:t xml:space="preserve"> </w:t>
            </w:r>
            <w:proofErr w:type="spellStart"/>
            <w:r w:rsidRPr="00FC5B6A">
              <w:rPr>
                <w:rFonts w:eastAsia="Times New Roman" w:cstheme="minorHAnsi"/>
                <w:color w:val="000000" w:themeColor="text1"/>
                <w:sz w:val="16"/>
                <w:lang w:eastAsia="es-CO"/>
              </w:rPr>
              <w:t>forrajera</w:t>
            </w:r>
            <w:proofErr w:type="spellEnd"/>
          </w:p>
        </w:tc>
        <w:tc>
          <w:tcPr>
            <w:tcW w:w="368" w:type="pct"/>
            <w:vAlign w:val="center"/>
            <w:hideMark/>
          </w:tcPr>
          <w:p w14:paraId="17ADD359"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0</w:t>
            </w:r>
          </w:p>
        </w:tc>
        <w:tc>
          <w:tcPr>
            <w:tcW w:w="188" w:type="pct"/>
            <w:vAlign w:val="center"/>
            <w:hideMark/>
          </w:tcPr>
          <w:p w14:paraId="0291C890"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0</w:t>
            </w:r>
          </w:p>
        </w:tc>
        <w:tc>
          <w:tcPr>
            <w:tcW w:w="256" w:type="pct"/>
            <w:vAlign w:val="center"/>
            <w:hideMark/>
          </w:tcPr>
          <w:p w14:paraId="2DC7FDE0" w14:textId="2F74225E" w:rsidR="0033156F" w:rsidRPr="00FC5B6A" w:rsidRDefault="0026248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r w:rsidR="0033156F" w:rsidRPr="00FC5B6A">
              <w:rPr>
                <w:rFonts w:eastAsia="Times New Roman" w:cstheme="minorHAnsi"/>
                <w:color w:val="000000" w:themeColor="text1"/>
                <w:sz w:val="16"/>
                <w:lang w:eastAsia="es-CO"/>
              </w:rPr>
              <w:t> </w:t>
            </w:r>
          </w:p>
        </w:tc>
        <w:tc>
          <w:tcPr>
            <w:tcW w:w="228" w:type="pct"/>
            <w:vAlign w:val="center"/>
            <w:hideMark/>
          </w:tcPr>
          <w:p w14:paraId="6C6351BE"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3943CEEC"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796618F6"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5CD87E6A"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78769BD2"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7944B608"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5C083CBA"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430E9418"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auto"/>
                <w:sz w:val="16"/>
                <w:lang w:eastAsia="es-CO"/>
              </w:rPr>
              <w:t>0</w:t>
            </w:r>
          </w:p>
        </w:tc>
      </w:tr>
      <w:tr w:rsidR="0033156F" w:rsidRPr="00FC5B6A" w14:paraId="7B348325" w14:textId="77777777" w:rsidTr="00DE3A1A">
        <w:trPr>
          <w:cnfStyle w:val="000000100000" w:firstRow="0" w:lastRow="0" w:firstColumn="0" w:lastColumn="0" w:oddVBand="0" w:evenVBand="0" w:oddHBand="1" w:evenHBand="0" w:firstRowFirstColumn="0" w:firstRowLastColumn="0" w:lastRowFirstColumn="0" w:lastRowLastColumn="0"/>
          <w:trHeight w:val="514"/>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6D5E5EA1" w14:textId="77777777" w:rsidR="0033156F" w:rsidRPr="00FC5B6A" w:rsidRDefault="0033156F" w:rsidP="00D56EE9">
            <w:pPr>
              <w:spacing w:line="276" w:lineRule="auto"/>
              <w:rPr>
                <w:rFonts w:eastAsia="Times New Roman" w:cstheme="minorHAnsi"/>
                <w:color w:val="000000" w:themeColor="text1"/>
                <w:sz w:val="16"/>
                <w:lang w:eastAsia="es-CO"/>
              </w:rPr>
            </w:pPr>
            <w:proofErr w:type="spellStart"/>
            <w:r w:rsidRPr="00FC5B6A">
              <w:rPr>
                <w:rFonts w:eastAsia="Times New Roman" w:cstheme="minorHAnsi"/>
                <w:color w:val="000000" w:themeColor="text1"/>
                <w:sz w:val="16"/>
                <w:lang w:eastAsia="es-CO"/>
              </w:rPr>
              <w:t>Producción</w:t>
            </w:r>
            <w:proofErr w:type="spellEnd"/>
            <w:r w:rsidRPr="00FC5B6A">
              <w:rPr>
                <w:rFonts w:eastAsia="Times New Roman" w:cstheme="minorHAnsi"/>
                <w:color w:val="000000" w:themeColor="text1"/>
                <w:sz w:val="16"/>
                <w:lang w:eastAsia="es-CO"/>
              </w:rPr>
              <w:t xml:space="preserve"> </w:t>
            </w:r>
            <w:proofErr w:type="spellStart"/>
            <w:r w:rsidRPr="00FC5B6A">
              <w:rPr>
                <w:rFonts w:eastAsia="Times New Roman" w:cstheme="minorHAnsi"/>
                <w:color w:val="000000" w:themeColor="text1"/>
                <w:sz w:val="16"/>
                <w:lang w:eastAsia="es-CO"/>
              </w:rPr>
              <w:t>forestal</w:t>
            </w:r>
            <w:proofErr w:type="spellEnd"/>
            <w:r w:rsidRPr="00FC5B6A">
              <w:rPr>
                <w:rFonts w:eastAsia="Times New Roman" w:cstheme="minorHAnsi"/>
                <w:color w:val="000000" w:themeColor="text1"/>
                <w:sz w:val="16"/>
                <w:lang w:eastAsia="es-CO"/>
              </w:rPr>
              <w:t xml:space="preserve"> no </w:t>
            </w:r>
            <w:proofErr w:type="spellStart"/>
            <w:r w:rsidRPr="00FC5B6A">
              <w:rPr>
                <w:rFonts w:eastAsia="Times New Roman" w:cstheme="minorHAnsi"/>
                <w:color w:val="000000" w:themeColor="text1"/>
                <w:sz w:val="16"/>
                <w:lang w:eastAsia="es-CO"/>
              </w:rPr>
              <w:t>maderera</w:t>
            </w:r>
            <w:proofErr w:type="spellEnd"/>
          </w:p>
        </w:tc>
        <w:tc>
          <w:tcPr>
            <w:tcW w:w="368" w:type="pct"/>
            <w:vAlign w:val="center"/>
            <w:hideMark/>
          </w:tcPr>
          <w:p w14:paraId="5861269F"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22137D67"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60BE9183"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0</w:t>
            </w:r>
          </w:p>
        </w:tc>
        <w:tc>
          <w:tcPr>
            <w:tcW w:w="228" w:type="pct"/>
            <w:vAlign w:val="center"/>
            <w:hideMark/>
          </w:tcPr>
          <w:p w14:paraId="09E1382B"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72" w:type="pct"/>
            <w:vAlign w:val="center"/>
            <w:hideMark/>
          </w:tcPr>
          <w:p w14:paraId="20347A7A"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184B5E4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1E6CC055"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34" w:type="pct"/>
            <w:vAlign w:val="center"/>
            <w:hideMark/>
          </w:tcPr>
          <w:p w14:paraId="4D1B3DFE"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29260D32"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33D4FB6D"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0CBE4A49" w14:textId="19E13D8D"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1</w:t>
            </w:r>
            <w:r w:rsidR="00970654" w:rsidRPr="00FC5B6A">
              <w:rPr>
                <w:rFonts w:eastAsia="Times New Roman" w:cstheme="minorHAnsi"/>
                <w:b/>
                <w:bCs/>
                <w:color w:val="000000" w:themeColor="text1"/>
                <w:sz w:val="16"/>
                <w:lang w:eastAsia="es-CO"/>
              </w:rPr>
              <w:t>4</w:t>
            </w:r>
          </w:p>
        </w:tc>
      </w:tr>
      <w:tr w:rsidR="006E0C08" w:rsidRPr="00FC5B6A" w14:paraId="5C194608" w14:textId="77777777" w:rsidTr="00DE3A1A">
        <w:trPr>
          <w:trHeight w:val="816"/>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28981E3A"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Productividad natural del suelo/Producción potencial de cultivos</w:t>
            </w:r>
          </w:p>
        </w:tc>
        <w:tc>
          <w:tcPr>
            <w:tcW w:w="368" w:type="pct"/>
            <w:vAlign w:val="center"/>
            <w:hideMark/>
          </w:tcPr>
          <w:p w14:paraId="6ECC4D3E"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2EBC29E0"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039F5503"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228" w:type="pct"/>
            <w:vAlign w:val="center"/>
            <w:hideMark/>
          </w:tcPr>
          <w:p w14:paraId="128D1761"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49C69C0F"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72" w:type="pct"/>
            <w:vAlign w:val="center"/>
            <w:hideMark/>
          </w:tcPr>
          <w:p w14:paraId="635DD1A6"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34" w:type="pct"/>
            <w:vAlign w:val="center"/>
            <w:hideMark/>
          </w:tcPr>
          <w:p w14:paraId="2140C438"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4CB455EF"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3D519781"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7E2DF5FE"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44431213" w14:textId="624EAF10"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1</w:t>
            </w:r>
            <w:r w:rsidR="00970654" w:rsidRPr="00FC5B6A">
              <w:rPr>
                <w:rFonts w:eastAsia="Times New Roman" w:cstheme="minorHAnsi"/>
                <w:b/>
                <w:bCs/>
                <w:color w:val="000000" w:themeColor="text1"/>
                <w:sz w:val="16"/>
                <w:lang w:eastAsia="es-CO"/>
              </w:rPr>
              <w:t>7</w:t>
            </w:r>
          </w:p>
        </w:tc>
      </w:tr>
      <w:tr w:rsidR="0033156F" w:rsidRPr="00FC5B6A" w14:paraId="6A3049CE" w14:textId="77777777" w:rsidTr="00DE3A1A">
        <w:trPr>
          <w:cnfStyle w:val="000000100000" w:firstRow="0" w:lastRow="0" w:firstColumn="0" w:lastColumn="0" w:oddVBand="0" w:evenVBand="0" w:oddHBand="1" w:evenHBand="0" w:firstRowFirstColumn="0" w:firstRowLastColumn="0" w:lastRowFirstColumn="0" w:lastRowLastColumn="0"/>
          <w:trHeight w:val="749"/>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50A086A8"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Retención y regulación hídrica (mantenimiento del flujo hídrico)</w:t>
            </w:r>
          </w:p>
        </w:tc>
        <w:tc>
          <w:tcPr>
            <w:tcW w:w="368" w:type="pct"/>
            <w:vAlign w:val="center"/>
            <w:hideMark/>
          </w:tcPr>
          <w:p w14:paraId="395ACE7F"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6BB0B474"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7507A991"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228" w:type="pct"/>
            <w:vAlign w:val="center"/>
            <w:hideMark/>
          </w:tcPr>
          <w:p w14:paraId="42012160"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406A49E6"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72" w:type="pct"/>
            <w:vAlign w:val="center"/>
            <w:hideMark/>
          </w:tcPr>
          <w:p w14:paraId="48A1D73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03CA50F2"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038FFFFA"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465BC5CE"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49C03B37"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6EAC7C7A" w14:textId="31A90B79"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2</w:t>
            </w:r>
            <w:r w:rsidR="009C2F67" w:rsidRPr="00FC5B6A">
              <w:rPr>
                <w:rFonts w:eastAsia="Times New Roman" w:cstheme="minorHAnsi"/>
                <w:b/>
                <w:bCs/>
                <w:color w:val="000000" w:themeColor="text1"/>
                <w:sz w:val="16"/>
                <w:lang w:eastAsia="es-CO"/>
              </w:rPr>
              <w:t>0</w:t>
            </w:r>
          </w:p>
        </w:tc>
      </w:tr>
      <w:tr w:rsidR="006E0C08" w:rsidRPr="00FC5B6A" w14:paraId="398FE81C" w14:textId="77777777" w:rsidTr="00DE3A1A">
        <w:trPr>
          <w:trHeight w:val="966"/>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598C5CD8"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Moderación de movimientos de masa y retención del suelo (control de erosión)</w:t>
            </w:r>
          </w:p>
        </w:tc>
        <w:tc>
          <w:tcPr>
            <w:tcW w:w="368" w:type="pct"/>
            <w:vAlign w:val="center"/>
            <w:hideMark/>
          </w:tcPr>
          <w:p w14:paraId="78D2B1B7"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45F8C539"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73B2EC67"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2.5</w:t>
            </w:r>
          </w:p>
        </w:tc>
        <w:tc>
          <w:tcPr>
            <w:tcW w:w="228" w:type="pct"/>
            <w:vAlign w:val="center"/>
            <w:hideMark/>
          </w:tcPr>
          <w:p w14:paraId="32241D4F"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2E853D23"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48872E99"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051376FB"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56C83507"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59A73013"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7DEC1D45"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662BCE22" w14:textId="28AF6AE0" w:rsidR="0033156F" w:rsidRPr="00FC5B6A" w:rsidRDefault="009C2F67"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20</w:t>
            </w:r>
            <w:r w:rsidR="0033156F" w:rsidRPr="00FC5B6A">
              <w:rPr>
                <w:rFonts w:eastAsia="Times New Roman" w:cstheme="minorHAnsi"/>
                <w:b/>
                <w:bCs/>
                <w:color w:val="000000" w:themeColor="text1"/>
                <w:sz w:val="16"/>
                <w:lang w:eastAsia="es-CO"/>
              </w:rPr>
              <w:t>.5</w:t>
            </w:r>
          </w:p>
        </w:tc>
      </w:tr>
      <w:tr w:rsidR="0033156F" w:rsidRPr="00FC5B6A" w14:paraId="20DD2A88" w14:textId="77777777" w:rsidTr="00DE3A1A">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60C85A61"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Moderación de precipitaciones (protección de tormentas)</w:t>
            </w:r>
          </w:p>
        </w:tc>
        <w:tc>
          <w:tcPr>
            <w:tcW w:w="368" w:type="pct"/>
            <w:vAlign w:val="center"/>
            <w:hideMark/>
          </w:tcPr>
          <w:p w14:paraId="01401DC6"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0</w:t>
            </w:r>
          </w:p>
        </w:tc>
        <w:tc>
          <w:tcPr>
            <w:tcW w:w="188" w:type="pct"/>
            <w:vAlign w:val="center"/>
            <w:hideMark/>
          </w:tcPr>
          <w:p w14:paraId="13C2E2F0"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3688D8E5" w14:textId="6C5EC978"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 </w:t>
            </w:r>
            <w:r w:rsidR="00B201CC" w:rsidRPr="00FC5B6A">
              <w:rPr>
                <w:rFonts w:eastAsia="Times New Roman" w:cstheme="minorHAnsi"/>
                <w:color w:val="000000" w:themeColor="text1"/>
                <w:sz w:val="16"/>
                <w:lang w:eastAsia="es-CO"/>
              </w:rPr>
              <w:t>1</w:t>
            </w:r>
          </w:p>
        </w:tc>
        <w:tc>
          <w:tcPr>
            <w:tcW w:w="228" w:type="pct"/>
            <w:vAlign w:val="center"/>
            <w:hideMark/>
          </w:tcPr>
          <w:p w14:paraId="3AF5A804"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7D3B62F0"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6A4F87F2"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081F4B60"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339B4A0A"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677422E5"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6D6B8D0C"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520EE7BD"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0</w:t>
            </w:r>
          </w:p>
        </w:tc>
      </w:tr>
      <w:tr w:rsidR="006E0C08" w:rsidRPr="00FC5B6A" w14:paraId="0EFFCFEF" w14:textId="77777777" w:rsidTr="00DE3A1A">
        <w:trPr>
          <w:trHeight w:val="534"/>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5FB57A52" w14:textId="77777777" w:rsidR="0033156F" w:rsidRPr="00FC5B6A" w:rsidRDefault="0033156F" w:rsidP="00D56EE9">
            <w:pPr>
              <w:spacing w:line="276" w:lineRule="auto"/>
              <w:rPr>
                <w:rFonts w:eastAsia="Times New Roman" w:cstheme="minorHAnsi"/>
                <w:color w:val="000000" w:themeColor="text1"/>
                <w:sz w:val="16"/>
                <w:lang w:eastAsia="es-CO"/>
              </w:rPr>
            </w:pPr>
            <w:proofErr w:type="spellStart"/>
            <w:r w:rsidRPr="00FC5B6A">
              <w:rPr>
                <w:rFonts w:eastAsia="Times New Roman" w:cstheme="minorHAnsi"/>
                <w:color w:val="000000" w:themeColor="text1"/>
                <w:sz w:val="16"/>
                <w:lang w:eastAsia="es-CO"/>
              </w:rPr>
              <w:t>Moderación</w:t>
            </w:r>
            <w:proofErr w:type="spellEnd"/>
            <w:r w:rsidRPr="00FC5B6A">
              <w:rPr>
                <w:rFonts w:eastAsia="Times New Roman" w:cstheme="minorHAnsi"/>
                <w:color w:val="000000" w:themeColor="text1"/>
                <w:sz w:val="16"/>
                <w:lang w:eastAsia="es-CO"/>
              </w:rPr>
              <w:t>/</w:t>
            </w:r>
            <w:proofErr w:type="spellStart"/>
            <w:r w:rsidRPr="00FC5B6A">
              <w:rPr>
                <w:rFonts w:eastAsia="Times New Roman" w:cstheme="minorHAnsi"/>
                <w:color w:val="000000" w:themeColor="text1"/>
                <w:sz w:val="16"/>
                <w:lang w:eastAsia="es-CO"/>
              </w:rPr>
              <w:t>Amortiguación</w:t>
            </w:r>
            <w:proofErr w:type="spellEnd"/>
            <w:r w:rsidRPr="00FC5B6A">
              <w:rPr>
                <w:rFonts w:eastAsia="Times New Roman" w:cstheme="minorHAnsi"/>
                <w:color w:val="000000" w:themeColor="text1"/>
                <w:sz w:val="16"/>
                <w:lang w:eastAsia="es-CO"/>
              </w:rPr>
              <w:t xml:space="preserve"> de </w:t>
            </w:r>
            <w:proofErr w:type="spellStart"/>
            <w:r w:rsidRPr="00FC5B6A">
              <w:rPr>
                <w:rFonts w:eastAsia="Times New Roman" w:cstheme="minorHAnsi"/>
                <w:color w:val="000000" w:themeColor="text1"/>
                <w:sz w:val="16"/>
                <w:lang w:eastAsia="es-CO"/>
              </w:rPr>
              <w:t>inundaciones</w:t>
            </w:r>
            <w:proofErr w:type="spellEnd"/>
          </w:p>
        </w:tc>
        <w:tc>
          <w:tcPr>
            <w:tcW w:w="368" w:type="pct"/>
            <w:vAlign w:val="center"/>
            <w:hideMark/>
          </w:tcPr>
          <w:p w14:paraId="5022909A"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5912449A"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2CDEADED"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228" w:type="pct"/>
            <w:vAlign w:val="center"/>
            <w:hideMark/>
          </w:tcPr>
          <w:p w14:paraId="75C318BD"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5898FAFA"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72" w:type="pct"/>
            <w:vAlign w:val="center"/>
            <w:hideMark/>
          </w:tcPr>
          <w:p w14:paraId="7FE12D72"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7C996C71"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34" w:type="pct"/>
            <w:vAlign w:val="center"/>
            <w:hideMark/>
          </w:tcPr>
          <w:p w14:paraId="24E218F9"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10E4CDEB"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34BC7275"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538" w:type="pct"/>
            <w:vAlign w:val="center"/>
            <w:hideMark/>
          </w:tcPr>
          <w:p w14:paraId="3C7FD449" w14:textId="6751AE5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1</w:t>
            </w:r>
            <w:r w:rsidR="009C2F67" w:rsidRPr="00FC5B6A">
              <w:rPr>
                <w:rFonts w:eastAsia="Times New Roman" w:cstheme="minorHAnsi"/>
                <w:b/>
                <w:bCs/>
                <w:color w:val="000000" w:themeColor="text1"/>
                <w:sz w:val="16"/>
                <w:lang w:eastAsia="es-CO"/>
              </w:rPr>
              <w:t>5</w:t>
            </w:r>
          </w:p>
        </w:tc>
      </w:tr>
      <w:tr w:rsidR="0033156F" w:rsidRPr="00FC5B6A" w14:paraId="037E3423" w14:textId="77777777" w:rsidTr="00DE3A1A">
        <w:trPr>
          <w:cnfStyle w:val="000000100000" w:firstRow="0" w:lastRow="0" w:firstColumn="0" w:lastColumn="0" w:oddVBand="0" w:evenVBand="0" w:oddHBand="1" w:evenHBand="0" w:firstRowFirstColumn="0" w:firstRowLastColumn="0" w:lastRowFirstColumn="0" w:lastRowLastColumn="0"/>
          <w:trHeight w:val="804"/>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06D8CE62"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lastRenderedPageBreak/>
              <w:t>Almacenamiento de carbono en la biomasa aérea</w:t>
            </w:r>
          </w:p>
        </w:tc>
        <w:tc>
          <w:tcPr>
            <w:tcW w:w="368" w:type="pct"/>
            <w:vAlign w:val="center"/>
            <w:hideMark/>
          </w:tcPr>
          <w:p w14:paraId="46722ED0"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0</w:t>
            </w:r>
          </w:p>
        </w:tc>
        <w:tc>
          <w:tcPr>
            <w:tcW w:w="188" w:type="pct"/>
            <w:vAlign w:val="center"/>
            <w:hideMark/>
          </w:tcPr>
          <w:p w14:paraId="257AB7A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6FE4768E" w14:textId="7E84BEB5" w:rsidR="0033156F" w:rsidRPr="00FC5B6A" w:rsidRDefault="00B201CC"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r w:rsidR="0033156F" w:rsidRPr="00FC5B6A">
              <w:rPr>
                <w:rFonts w:eastAsia="Times New Roman" w:cstheme="minorHAnsi"/>
                <w:color w:val="000000" w:themeColor="text1"/>
                <w:sz w:val="16"/>
                <w:lang w:eastAsia="es-CO"/>
              </w:rPr>
              <w:t> </w:t>
            </w:r>
          </w:p>
        </w:tc>
        <w:tc>
          <w:tcPr>
            <w:tcW w:w="228" w:type="pct"/>
            <w:vAlign w:val="center"/>
            <w:hideMark/>
          </w:tcPr>
          <w:p w14:paraId="2AA50D37"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18F8B28D"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72" w:type="pct"/>
            <w:vAlign w:val="center"/>
            <w:hideMark/>
          </w:tcPr>
          <w:p w14:paraId="17E68E36"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34" w:type="pct"/>
            <w:vAlign w:val="center"/>
            <w:hideMark/>
          </w:tcPr>
          <w:p w14:paraId="02EA6FEF"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34" w:type="pct"/>
            <w:vAlign w:val="center"/>
            <w:hideMark/>
          </w:tcPr>
          <w:p w14:paraId="76D4CDC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5CE76712"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346A003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619746A6"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0</w:t>
            </w:r>
          </w:p>
        </w:tc>
      </w:tr>
      <w:tr w:rsidR="006E0C08" w:rsidRPr="00FC5B6A" w14:paraId="19F476F4" w14:textId="77777777" w:rsidTr="00DE3A1A">
        <w:trPr>
          <w:trHeight w:val="599"/>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1BA2D06C"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Almacenamiento de carbono en el suelo</w:t>
            </w:r>
          </w:p>
        </w:tc>
        <w:tc>
          <w:tcPr>
            <w:tcW w:w="368" w:type="pct"/>
            <w:vAlign w:val="center"/>
            <w:hideMark/>
          </w:tcPr>
          <w:p w14:paraId="5022916E"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0</w:t>
            </w:r>
          </w:p>
        </w:tc>
        <w:tc>
          <w:tcPr>
            <w:tcW w:w="188" w:type="pct"/>
            <w:vAlign w:val="center"/>
            <w:hideMark/>
          </w:tcPr>
          <w:p w14:paraId="59320CC4"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702092F1" w14:textId="4295983E"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 </w:t>
            </w:r>
            <w:r w:rsidR="007C1E22" w:rsidRPr="00FC5B6A">
              <w:rPr>
                <w:rFonts w:eastAsia="Times New Roman" w:cstheme="minorHAnsi"/>
                <w:color w:val="000000" w:themeColor="text1"/>
                <w:sz w:val="16"/>
                <w:lang w:eastAsia="es-CO"/>
              </w:rPr>
              <w:t>1</w:t>
            </w:r>
          </w:p>
        </w:tc>
        <w:tc>
          <w:tcPr>
            <w:tcW w:w="228" w:type="pct"/>
            <w:vAlign w:val="center"/>
            <w:hideMark/>
          </w:tcPr>
          <w:p w14:paraId="2CB21C4A"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47F41CB9"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72" w:type="pct"/>
            <w:vAlign w:val="center"/>
            <w:hideMark/>
          </w:tcPr>
          <w:p w14:paraId="7AFEB6E0"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18BAAF21"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4CDD534A"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61D1109A"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2C76D22B"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65697683"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0</w:t>
            </w:r>
          </w:p>
        </w:tc>
      </w:tr>
      <w:tr w:rsidR="0033156F" w:rsidRPr="00FC5B6A" w14:paraId="483A19D0" w14:textId="77777777" w:rsidTr="00DE3A1A">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52842FAD"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Regulación climática global por reducción de gases de efecto invernadero</w:t>
            </w:r>
          </w:p>
        </w:tc>
        <w:tc>
          <w:tcPr>
            <w:tcW w:w="368" w:type="pct"/>
            <w:vAlign w:val="center"/>
            <w:hideMark/>
          </w:tcPr>
          <w:p w14:paraId="3425F32A"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2EEE5AA4"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09180AE4"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0</w:t>
            </w:r>
          </w:p>
        </w:tc>
        <w:tc>
          <w:tcPr>
            <w:tcW w:w="228" w:type="pct"/>
            <w:vAlign w:val="center"/>
            <w:hideMark/>
          </w:tcPr>
          <w:p w14:paraId="7A6680FA"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496EE0D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3DB49935"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54665ED1"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76506C96"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0662AF95"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12F688A0"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16E41D05" w14:textId="69E1E925" w:rsidR="0033156F" w:rsidRPr="00FC5B6A" w:rsidRDefault="009C2F67"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21</w:t>
            </w:r>
          </w:p>
        </w:tc>
      </w:tr>
      <w:tr w:rsidR="006E0C08" w:rsidRPr="00FC5B6A" w14:paraId="588E7D09" w14:textId="77777777" w:rsidTr="00DE3A1A">
        <w:trPr>
          <w:trHeight w:val="436"/>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77FD27F6"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Regulación climática local y regional</w:t>
            </w:r>
          </w:p>
        </w:tc>
        <w:tc>
          <w:tcPr>
            <w:tcW w:w="368" w:type="pct"/>
            <w:vAlign w:val="center"/>
            <w:hideMark/>
          </w:tcPr>
          <w:p w14:paraId="45F2FBAF"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15AE3108"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569BCC2F"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0</w:t>
            </w:r>
          </w:p>
        </w:tc>
        <w:tc>
          <w:tcPr>
            <w:tcW w:w="228" w:type="pct"/>
            <w:vAlign w:val="center"/>
            <w:hideMark/>
          </w:tcPr>
          <w:p w14:paraId="31F4FD78"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1EACA8A2"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60CDFFA1"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59D4A6D8"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4E1180C3"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10859FF2"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7155B7FD"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00806425" w14:textId="789A5D5E" w:rsidR="0033156F" w:rsidRPr="00FC5B6A" w:rsidRDefault="009C2F67"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18</w:t>
            </w:r>
          </w:p>
        </w:tc>
      </w:tr>
      <w:tr w:rsidR="0033156F" w:rsidRPr="00FC5B6A" w14:paraId="2F584B94" w14:textId="77777777" w:rsidTr="00DE3A1A">
        <w:trPr>
          <w:cnfStyle w:val="000000100000" w:firstRow="0" w:lastRow="0" w:firstColumn="0" w:lastColumn="0" w:oddVBand="0" w:evenVBand="0" w:oddHBand="1" w:evenHBand="0" w:firstRowFirstColumn="0" w:firstRowLastColumn="0" w:lastRowFirstColumn="0" w:lastRowLastColumn="0"/>
          <w:trHeight w:val="532"/>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6D5FB8CE"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Ecosistemas y/o paisajes con importancia cultural</w:t>
            </w:r>
          </w:p>
        </w:tc>
        <w:tc>
          <w:tcPr>
            <w:tcW w:w="368" w:type="pct"/>
            <w:vAlign w:val="center"/>
            <w:hideMark/>
          </w:tcPr>
          <w:p w14:paraId="0C41A9C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4E1B035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7D5C2ED1"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28" w:type="pct"/>
            <w:vAlign w:val="center"/>
            <w:hideMark/>
          </w:tcPr>
          <w:p w14:paraId="547CFEB0"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5A437C07"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69FA0D6E"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38E21C96"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556F8859"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32CEA0B7"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3BF852EA"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4091AAF5" w14:textId="4F534BB0" w:rsidR="0033156F" w:rsidRPr="00FC5B6A" w:rsidRDefault="009C2F67"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auto"/>
                <w:sz w:val="16"/>
                <w:lang w:eastAsia="es-CO"/>
              </w:rPr>
            </w:pPr>
            <w:r w:rsidRPr="00FC5B6A">
              <w:rPr>
                <w:rFonts w:eastAsia="Times New Roman" w:cstheme="minorHAnsi"/>
                <w:b/>
                <w:bCs/>
                <w:color w:val="auto"/>
                <w:sz w:val="16"/>
                <w:lang w:eastAsia="es-CO"/>
              </w:rPr>
              <w:t>20</w:t>
            </w:r>
          </w:p>
        </w:tc>
      </w:tr>
      <w:tr w:rsidR="006E0C08" w:rsidRPr="00FC5B6A" w14:paraId="72A42980" w14:textId="77777777" w:rsidTr="00DE3A1A">
        <w:trPr>
          <w:trHeight w:val="107"/>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695826AF"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Dispersión de semillas y polinización</w:t>
            </w:r>
          </w:p>
        </w:tc>
        <w:tc>
          <w:tcPr>
            <w:tcW w:w="368" w:type="pct"/>
            <w:vAlign w:val="center"/>
            <w:hideMark/>
          </w:tcPr>
          <w:p w14:paraId="75D0F112"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188" w:type="pct"/>
            <w:vAlign w:val="center"/>
            <w:hideMark/>
          </w:tcPr>
          <w:p w14:paraId="6BBD3626"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54D33E53"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0</w:t>
            </w:r>
          </w:p>
        </w:tc>
        <w:tc>
          <w:tcPr>
            <w:tcW w:w="228" w:type="pct"/>
            <w:vAlign w:val="center"/>
            <w:hideMark/>
          </w:tcPr>
          <w:p w14:paraId="470ACCFE"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72" w:type="pct"/>
            <w:vAlign w:val="center"/>
            <w:hideMark/>
          </w:tcPr>
          <w:p w14:paraId="04671A1F"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0261D5AE"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7E4F3372"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3F75A84F"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1FC6ADE7"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240A2A2C" w14:textId="77777777"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350096C1" w14:textId="066E9E6D" w:rsidR="0033156F" w:rsidRPr="00FC5B6A" w:rsidRDefault="0033156F" w:rsidP="00D56EE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bCs/>
                <w:color w:val="auto"/>
                <w:sz w:val="16"/>
                <w:lang w:eastAsia="es-CO"/>
              </w:rPr>
            </w:pPr>
            <w:r w:rsidRPr="00FC5B6A">
              <w:rPr>
                <w:rFonts w:eastAsia="Times New Roman" w:cstheme="minorHAnsi"/>
                <w:b/>
                <w:bCs/>
                <w:color w:val="auto"/>
                <w:sz w:val="16"/>
                <w:lang w:eastAsia="es-CO"/>
              </w:rPr>
              <w:t>1</w:t>
            </w:r>
            <w:r w:rsidR="009C2F67" w:rsidRPr="00FC5B6A">
              <w:rPr>
                <w:rFonts w:eastAsia="Times New Roman" w:cstheme="minorHAnsi"/>
                <w:b/>
                <w:bCs/>
                <w:color w:val="auto"/>
                <w:sz w:val="16"/>
                <w:lang w:eastAsia="es-CO"/>
              </w:rPr>
              <w:t>7</w:t>
            </w:r>
          </w:p>
        </w:tc>
      </w:tr>
      <w:tr w:rsidR="0033156F" w:rsidRPr="00FC5B6A" w14:paraId="5FC832DB" w14:textId="77777777" w:rsidTr="00DE3A1A">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1342" w:type="pct"/>
            <w:vAlign w:val="center"/>
            <w:hideMark/>
          </w:tcPr>
          <w:p w14:paraId="1ED906F8" w14:textId="77777777" w:rsidR="0033156F" w:rsidRPr="00FC5B6A" w:rsidRDefault="0033156F" w:rsidP="00D56EE9">
            <w:pPr>
              <w:spacing w:line="276" w:lineRule="auto"/>
              <w:rPr>
                <w:rFonts w:eastAsia="Times New Roman" w:cstheme="minorHAnsi"/>
                <w:color w:val="000000" w:themeColor="text1"/>
                <w:sz w:val="16"/>
                <w:lang w:val="es-CO" w:eastAsia="es-CO"/>
              </w:rPr>
            </w:pPr>
            <w:r w:rsidRPr="00FC5B6A">
              <w:rPr>
                <w:rFonts w:eastAsia="Times New Roman" w:cstheme="minorHAnsi"/>
                <w:color w:val="000000" w:themeColor="text1"/>
                <w:sz w:val="16"/>
                <w:lang w:val="es-CO" w:eastAsia="es-CO"/>
              </w:rPr>
              <w:t>Mantenimiento de hábitats y poblaciones de especies naturales</w:t>
            </w:r>
          </w:p>
        </w:tc>
        <w:tc>
          <w:tcPr>
            <w:tcW w:w="368" w:type="pct"/>
            <w:vAlign w:val="center"/>
            <w:hideMark/>
          </w:tcPr>
          <w:p w14:paraId="06ED0820"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0</w:t>
            </w:r>
          </w:p>
        </w:tc>
        <w:tc>
          <w:tcPr>
            <w:tcW w:w="188" w:type="pct"/>
            <w:vAlign w:val="center"/>
            <w:hideMark/>
          </w:tcPr>
          <w:p w14:paraId="4E5D77A9"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256" w:type="pct"/>
            <w:vAlign w:val="center"/>
            <w:hideMark/>
          </w:tcPr>
          <w:p w14:paraId="72C46589"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0</w:t>
            </w:r>
          </w:p>
        </w:tc>
        <w:tc>
          <w:tcPr>
            <w:tcW w:w="228" w:type="pct"/>
            <w:vAlign w:val="center"/>
            <w:hideMark/>
          </w:tcPr>
          <w:p w14:paraId="73781C1F"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72" w:type="pct"/>
            <w:vAlign w:val="center"/>
            <w:hideMark/>
          </w:tcPr>
          <w:p w14:paraId="61DBCC11"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72" w:type="pct"/>
            <w:vAlign w:val="center"/>
            <w:hideMark/>
          </w:tcPr>
          <w:p w14:paraId="48309D4A"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334" w:type="pct"/>
            <w:vAlign w:val="center"/>
            <w:hideMark/>
          </w:tcPr>
          <w:p w14:paraId="0C0EF60E"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1</w:t>
            </w:r>
          </w:p>
        </w:tc>
        <w:tc>
          <w:tcPr>
            <w:tcW w:w="334" w:type="pct"/>
            <w:vAlign w:val="center"/>
            <w:hideMark/>
          </w:tcPr>
          <w:p w14:paraId="3502263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2E80EF7D"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2</w:t>
            </w:r>
          </w:p>
        </w:tc>
        <w:tc>
          <w:tcPr>
            <w:tcW w:w="334" w:type="pct"/>
            <w:vAlign w:val="center"/>
            <w:hideMark/>
          </w:tcPr>
          <w:p w14:paraId="23704A48"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16"/>
                <w:lang w:eastAsia="es-CO"/>
              </w:rPr>
            </w:pPr>
            <w:r w:rsidRPr="00FC5B6A">
              <w:rPr>
                <w:rFonts w:eastAsia="Times New Roman" w:cstheme="minorHAnsi"/>
                <w:color w:val="000000" w:themeColor="text1"/>
                <w:sz w:val="16"/>
                <w:lang w:eastAsia="es-CO"/>
              </w:rPr>
              <w:t>3</w:t>
            </w:r>
          </w:p>
        </w:tc>
        <w:tc>
          <w:tcPr>
            <w:tcW w:w="538" w:type="pct"/>
            <w:vAlign w:val="center"/>
            <w:hideMark/>
          </w:tcPr>
          <w:p w14:paraId="25DE64A7" w14:textId="77777777" w:rsidR="0033156F" w:rsidRPr="00FC5B6A" w:rsidRDefault="0033156F" w:rsidP="00D56EE9">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16"/>
                <w:lang w:eastAsia="es-CO"/>
              </w:rPr>
            </w:pPr>
            <w:r w:rsidRPr="00FC5B6A">
              <w:rPr>
                <w:rFonts w:eastAsia="Times New Roman" w:cstheme="minorHAnsi"/>
                <w:b/>
                <w:bCs/>
                <w:color w:val="000000" w:themeColor="text1"/>
                <w:sz w:val="16"/>
                <w:lang w:eastAsia="es-CO"/>
              </w:rPr>
              <w:t>0</w:t>
            </w:r>
          </w:p>
        </w:tc>
      </w:tr>
    </w:tbl>
    <w:p w14:paraId="1E53F3BF" w14:textId="77777777" w:rsidR="0033156F" w:rsidRPr="00FC5B6A" w:rsidRDefault="0033156F" w:rsidP="0033156F">
      <w:pPr>
        <w:spacing w:after="0" w:line="276" w:lineRule="auto"/>
        <w:jc w:val="center"/>
        <w:rPr>
          <w:rFonts w:cstheme="minorHAnsi"/>
          <w:color w:val="000000" w:themeColor="text1"/>
        </w:rPr>
      </w:pPr>
      <w:r w:rsidRPr="00FC5B6A">
        <w:rPr>
          <w:rFonts w:cstheme="minorHAnsi"/>
          <w:color w:val="000000" w:themeColor="text1"/>
        </w:rPr>
        <w:t>Autor: PNUD/ Corporación Paisajes Rurales (Lobatón, G. Lozano, F., y Rubiano D)</w:t>
      </w:r>
    </w:p>
    <w:p w14:paraId="15BAA75A" w14:textId="77777777" w:rsidR="0033156F" w:rsidRPr="00FC5B6A" w:rsidRDefault="0033156F" w:rsidP="0033156F">
      <w:pPr>
        <w:spacing w:after="0" w:line="276" w:lineRule="auto"/>
        <w:jc w:val="both"/>
        <w:rPr>
          <w:rFonts w:cstheme="minorHAnsi"/>
          <w:color w:val="000000" w:themeColor="text1"/>
        </w:rPr>
      </w:pPr>
    </w:p>
    <w:p w14:paraId="6D60BD00" w14:textId="7032358F" w:rsidR="00F62A53" w:rsidRPr="00FC5B6A" w:rsidRDefault="0033156F" w:rsidP="0033156F">
      <w:pPr>
        <w:spacing w:after="0" w:line="276" w:lineRule="auto"/>
        <w:jc w:val="both"/>
        <w:rPr>
          <w:rFonts w:cstheme="minorHAnsi"/>
          <w:color w:val="000000" w:themeColor="text1"/>
        </w:rPr>
      </w:pPr>
      <w:r w:rsidRPr="00FC5B6A">
        <w:rPr>
          <w:rFonts w:cstheme="minorHAnsi"/>
          <w:color w:val="000000" w:themeColor="text1"/>
        </w:rPr>
        <w:t>Posteriormente, siguiendo con el primer módulo de la herramienta ECOSER (Larrea et al. 2015), se evalúan, mediante el uso de indicadores e índices alimentados por la información disponible en el país, las Funciones Ecosistémicas que soportan el suministro de cada uno de estos SS.EE priorizados (</w:t>
      </w:r>
      <w:r w:rsidR="00047840" w:rsidRPr="00FC5B6A">
        <w:rPr>
          <w:rFonts w:cstheme="minorHAnsi"/>
          <w:color w:val="000000" w:themeColor="text1"/>
        </w:rPr>
        <w:fldChar w:fldCharType="begin"/>
      </w:r>
      <w:r w:rsidR="00047840" w:rsidRPr="00FC5B6A">
        <w:rPr>
          <w:rFonts w:cstheme="minorHAnsi"/>
          <w:color w:val="000000" w:themeColor="text1"/>
        </w:rPr>
        <w:instrText xml:space="preserve"> REF _Ref167531413 \h  \* MERGEFORMAT </w:instrText>
      </w:r>
      <w:r w:rsidR="00047840" w:rsidRPr="00FC5B6A">
        <w:rPr>
          <w:rFonts w:cstheme="minorHAnsi"/>
          <w:color w:val="000000" w:themeColor="text1"/>
        </w:rPr>
      </w:r>
      <w:r w:rsidR="00047840" w:rsidRPr="00FC5B6A">
        <w:rPr>
          <w:rFonts w:cstheme="minorHAnsi"/>
          <w:color w:val="000000" w:themeColor="text1"/>
        </w:rPr>
        <w:fldChar w:fldCharType="separate"/>
      </w:r>
      <w:r w:rsidR="00E74A31" w:rsidRPr="00FC5B6A">
        <w:rPr>
          <w:rFonts w:cstheme="minorHAnsi"/>
          <w:color w:val="000000" w:themeColor="text1"/>
        </w:rPr>
        <w:t xml:space="preserve">Tabla </w:t>
      </w:r>
      <w:r w:rsidR="00F65552">
        <w:rPr>
          <w:rFonts w:cstheme="minorHAnsi"/>
          <w:color w:val="000000" w:themeColor="text1"/>
        </w:rPr>
        <w:t>5</w:t>
      </w:r>
      <w:r w:rsidR="00047840" w:rsidRPr="00FC5B6A">
        <w:rPr>
          <w:rFonts w:cstheme="minorHAnsi"/>
          <w:color w:val="000000" w:themeColor="text1"/>
        </w:rPr>
        <w:fldChar w:fldCharType="end"/>
      </w:r>
      <w:r w:rsidRPr="00FC5B6A">
        <w:rPr>
          <w:rFonts w:cstheme="minorHAnsi"/>
          <w:color w:val="000000" w:themeColor="text1"/>
        </w:rPr>
        <w:t xml:space="preserve">). </w:t>
      </w:r>
    </w:p>
    <w:p w14:paraId="2826516F" w14:textId="77777777" w:rsidR="00F62A53" w:rsidRPr="00FC5B6A" w:rsidRDefault="00F62A53" w:rsidP="0033156F">
      <w:pPr>
        <w:spacing w:after="0" w:line="276" w:lineRule="auto"/>
        <w:jc w:val="both"/>
        <w:rPr>
          <w:rFonts w:cstheme="minorHAnsi"/>
          <w:color w:val="000000" w:themeColor="text1"/>
        </w:rPr>
      </w:pPr>
    </w:p>
    <w:p w14:paraId="76F7F64B" w14:textId="41660394" w:rsidR="0033156F" w:rsidRPr="00F65552" w:rsidRDefault="00047840" w:rsidP="00F65552">
      <w:pPr>
        <w:pStyle w:val="FIGYTAB"/>
      </w:pPr>
      <w:bookmarkStart w:id="43" w:name="_Ref167531413"/>
      <w:bookmarkStart w:id="44" w:name="_Toc478482917"/>
      <w:bookmarkStart w:id="45" w:name="_Toc170124917"/>
      <w:r w:rsidRPr="00F65552">
        <w:t xml:space="preserve">Tabla </w:t>
      </w:r>
      <w:r>
        <w:fldChar w:fldCharType="begin"/>
      </w:r>
      <w:r>
        <w:instrText>SEQ Tabla \* ARABIC</w:instrText>
      </w:r>
      <w:r>
        <w:fldChar w:fldCharType="separate"/>
      </w:r>
      <w:r w:rsidR="00F65552" w:rsidRPr="00F65552">
        <w:t>5</w:t>
      </w:r>
      <w:r>
        <w:fldChar w:fldCharType="end"/>
      </w:r>
      <w:bookmarkEnd w:id="43"/>
      <w:r w:rsidR="0033156F" w:rsidRPr="00F65552">
        <w:t xml:space="preserve">. Funciones Ecosistémicas seleccionadas para ser </w:t>
      </w:r>
      <w:proofErr w:type="spellStart"/>
      <w:r w:rsidR="0033156F" w:rsidRPr="00F65552">
        <w:t>espacializadas</w:t>
      </w:r>
      <w:bookmarkEnd w:id="44"/>
      <w:bookmarkEnd w:id="45"/>
      <w:proofErr w:type="spellEnd"/>
      <w:r w:rsidR="004B1581">
        <w:t>.</w:t>
      </w:r>
    </w:p>
    <w:tbl>
      <w:tblPr>
        <w:tblStyle w:val="Tablaconcuadrcula6concolores-nfasis1"/>
        <w:tblW w:w="8880" w:type="dxa"/>
        <w:jc w:val="center"/>
        <w:tblLook w:val="04A0" w:firstRow="1" w:lastRow="0" w:firstColumn="1" w:lastColumn="0" w:noHBand="0" w:noVBand="1"/>
      </w:tblPr>
      <w:tblGrid>
        <w:gridCol w:w="2122"/>
        <w:gridCol w:w="3685"/>
        <w:gridCol w:w="3073"/>
      </w:tblGrid>
      <w:tr w:rsidR="0033156F" w:rsidRPr="00FC5B6A" w14:paraId="08C701CD" w14:textId="77777777" w:rsidTr="00D56EE9">
        <w:trPr>
          <w:cnfStyle w:val="100000000000" w:firstRow="1" w:lastRow="0" w:firstColumn="0" w:lastColumn="0" w:oddVBand="0" w:evenVBand="0" w:oddHBand="0" w:evenHBand="0" w:firstRowFirstColumn="0" w:firstRowLastColumn="0" w:lastRowFirstColumn="0" w:lastRowLastColumn="0"/>
          <w:trHeight w:val="300"/>
          <w:tblHeader/>
          <w:jc w:val="center"/>
        </w:trPr>
        <w:tc>
          <w:tcPr>
            <w:cnfStyle w:val="001000000000" w:firstRow="0" w:lastRow="0" w:firstColumn="1" w:lastColumn="0" w:oddVBand="0" w:evenVBand="0" w:oddHBand="0" w:evenHBand="0" w:firstRowFirstColumn="0" w:firstRowLastColumn="0" w:lastRowFirstColumn="0" w:lastRowLastColumn="0"/>
            <w:tcW w:w="2122" w:type="dxa"/>
            <w:noWrap/>
            <w:vAlign w:val="center"/>
            <w:hideMark/>
          </w:tcPr>
          <w:p w14:paraId="21B081FA" w14:textId="77777777" w:rsidR="0033156F" w:rsidRPr="00FC5B6A" w:rsidRDefault="0033156F" w:rsidP="00D56EE9">
            <w:pPr>
              <w:spacing w:line="276" w:lineRule="auto"/>
              <w:rPr>
                <w:rFonts w:eastAsia="Times New Roman" w:cstheme="minorHAnsi"/>
                <w:color w:val="000000" w:themeColor="text1"/>
                <w:lang w:eastAsia="es-MX"/>
              </w:rPr>
            </w:pPr>
            <w:r w:rsidRPr="00FC5B6A">
              <w:rPr>
                <w:rFonts w:eastAsia="Times New Roman" w:cstheme="minorHAnsi"/>
                <w:color w:val="000000" w:themeColor="text1"/>
                <w:lang w:eastAsia="es-MX"/>
              </w:rPr>
              <w:t>Fuente</w:t>
            </w:r>
          </w:p>
        </w:tc>
        <w:tc>
          <w:tcPr>
            <w:tcW w:w="3685" w:type="dxa"/>
            <w:noWrap/>
            <w:vAlign w:val="center"/>
            <w:hideMark/>
          </w:tcPr>
          <w:p w14:paraId="0B770880" w14:textId="77777777" w:rsidR="0033156F" w:rsidRPr="00FC5B6A" w:rsidRDefault="0033156F" w:rsidP="00D56EE9">
            <w:pPr>
              <w:spacing w:line="276" w:lineRule="auto"/>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Índices/indicadores/modelos de FE</w:t>
            </w:r>
          </w:p>
        </w:tc>
        <w:tc>
          <w:tcPr>
            <w:tcW w:w="3073" w:type="dxa"/>
            <w:noWrap/>
            <w:vAlign w:val="center"/>
            <w:hideMark/>
          </w:tcPr>
          <w:p w14:paraId="708DBE36" w14:textId="77777777" w:rsidR="0033156F" w:rsidRPr="00FC5B6A" w:rsidRDefault="0033156F" w:rsidP="00D56EE9">
            <w:pPr>
              <w:spacing w:line="276" w:lineRule="auto"/>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Nombres de FF.EE ajustados</w:t>
            </w:r>
          </w:p>
        </w:tc>
      </w:tr>
      <w:tr w:rsidR="0033156F" w:rsidRPr="00FC5B6A" w14:paraId="0F74D16B" w14:textId="77777777" w:rsidTr="00D56EE9">
        <w:trPr>
          <w:cnfStyle w:val="000000100000" w:firstRow="0" w:lastRow="0" w:firstColumn="0" w:lastColumn="0" w:oddVBand="0" w:evenVBand="0" w:oddHBand="1"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559CC367" w14:textId="77777777" w:rsidR="0033156F" w:rsidRPr="00FC5B6A" w:rsidRDefault="0033156F" w:rsidP="00D56EE9">
            <w:pPr>
              <w:spacing w:line="276" w:lineRule="auto"/>
              <w:rPr>
                <w:rFonts w:eastAsia="Times New Roman" w:cstheme="minorHAnsi"/>
                <w:color w:val="000000" w:themeColor="text1"/>
                <w:lang w:eastAsia="es-MX"/>
              </w:rPr>
            </w:pPr>
            <w:r w:rsidRPr="00FC5B6A">
              <w:rPr>
                <w:rFonts w:eastAsia="Times New Roman" w:cstheme="minorHAnsi"/>
                <w:color w:val="000000" w:themeColor="text1"/>
                <w:lang w:eastAsia="es-MX"/>
              </w:rPr>
              <w:t>CPR/ECOSER</w:t>
            </w:r>
          </w:p>
        </w:tc>
        <w:tc>
          <w:tcPr>
            <w:tcW w:w="3685" w:type="dxa"/>
            <w:vAlign w:val="center"/>
            <w:hideMark/>
          </w:tcPr>
          <w:p w14:paraId="7A012D84" w14:textId="77777777" w:rsidR="0033156F" w:rsidRPr="00FC5B6A" w:rsidRDefault="0033156F" w:rsidP="00D56EE9">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Valor de conservación del paisaje/Hábitat para especies</w:t>
            </w:r>
          </w:p>
        </w:tc>
        <w:tc>
          <w:tcPr>
            <w:tcW w:w="3073" w:type="dxa"/>
            <w:vAlign w:val="center"/>
            <w:hideMark/>
          </w:tcPr>
          <w:p w14:paraId="1A3C1EC3" w14:textId="77777777" w:rsidR="0033156F" w:rsidRPr="00FC5B6A" w:rsidRDefault="0033156F" w:rsidP="00D56EE9">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Valor de Conservación del paisaje para la biodiversidad (VCPB)</w:t>
            </w:r>
          </w:p>
        </w:tc>
      </w:tr>
      <w:tr w:rsidR="0033156F" w:rsidRPr="00FC5B6A" w14:paraId="7A688165" w14:textId="77777777" w:rsidTr="00D56EE9">
        <w:trPr>
          <w:trHeight w:val="1500"/>
          <w:jc w:val="center"/>
        </w:trPr>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0F92C0A7" w14:textId="77777777" w:rsidR="0033156F" w:rsidRPr="00FC5B6A" w:rsidRDefault="0033156F" w:rsidP="00D56EE9">
            <w:pPr>
              <w:spacing w:line="276" w:lineRule="auto"/>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CPR/EE Colombia 2012/EE Colombia 2014</w:t>
            </w:r>
          </w:p>
        </w:tc>
        <w:tc>
          <w:tcPr>
            <w:tcW w:w="3685" w:type="dxa"/>
            <w:vAlign w:val="center"/>
            <w:hideMark/>
          </w:tcPr>
          <w:p w14:paraId="0BF584C9" w14:textId="77777777" w:rsidR="0033156F" w:rsidRPr="00FC5B6A" w:rsidRDefault="0033156F" w:rsidP="00D56EE9">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Almacenamiento de agua/ Regulación de agua/ Curva de duración de caudales medios diarios - Caudal específico o isolíneas de rendimientos hídricos y escorrentía</w:t>
            </w:r>
          </w:p>
        </w:tc>
        <w:tc>
          <w:tcPr>
            <w:tcW w:w="3073" w:type="dxa"/>
            <w:vAlign w:val="center"/>
            <w:hideMark/>
          </w:tcPr>
          <w:p w14:paraId="64F3DCBF" w14:textId="77777777" w:rsidR="0033156F" w:rsidRPr="00FC5B6A" w:rsidRDefault="0033156F" w:rsidP="00D56EE9">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eastAsia="es-MX"/>
              </w:rPr>
            </w:pPr>
            <w:proofErr w:type="spellStart"/>
            <w:r w:rsidRPr="00FC5B6A">
              <w:rPr>
                <w:rFonts w:eastAsia="Times New Roman" w:cstheme="minorHAnsi"/>
                <w:color w:val="000000" w:themeColor="text1"/>
                <w:lang w:eastAsia="es-MX"/>
              </w:rPr>
              <w:t>Regulación</w:t>
            </w:r>
            <w:proofErr w:type="spellEnd"/>
            <w:r w:rsidRPr="00FC5B6A">
              <w:rPr>
                <w:rFonts w:eastAsia="Times New Roman" w:cstheme="minorHAnsi"/>
                <w:color w:val="000000" w:themeColor="text1"/>
                <w:lang w:eastAsia="es-MX"/>
              </w:rPr>
              <w:t xml:space="preserve"> </w:t>
            </w:r>
            <w:proofErr w:type="spellStart"/>
            <w:r w:rsidRPr="00FC5B6A">
              <w:rPr>
                <w:rFonts w:eastAsia="Times New Roman" w:cstheme="minorHAnsi"/>
                <w:color w:val="000000" w:themeColor="text1"/>
                <w:lang w:eastAsia="es-MX"/>
              </w:rPr>
              <w:t>hídrica</w:t>
            </w:r>
            <w:proofErr w:type="spellEnd"/>
            <w:r w:rsidRPr="00FC5B6A">
              <w:rPr>
                <w:rFonts w:eastAsia="Times New Roman" w:cstheme="minorHAnsi"/>
                <w:color w:val="000000" w:themeColor="text1"/>
                <w:lang w:eastAsia="es-MX"/>
              </w:rPr>
              <w:t xml:space="preserve"> (RH)</w:t>
            </w:r>
          </w:p>
        </w:tc>
      </w:tr>
      <w:tr w:rsidR="0033156F" w:rsidRPr="00FC5B6A" w14:paraId="5D526F92" w14:textId="77777777" w:rsidTr="00D56EE9">
        <w:trPr>
          <w:cnfStyle w:val="000000100000" w:firstRow="0" w:lastRow="0" w:firstColumn="0" w:lastColumn="0" w:oddVBand="0" w:evenVBand="0" w:oddHBand="1"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1639031E" w14:textId="77777777" w:rsidR="0033156F" w:rsidRPr="00FC5B6A" w:rsidRDefault="0033156F" w:rsidP="00D56EE9">
            <w:pPr>
              <w:spacing w:line="276" w:lineRule="auto"/>
              <w:rPr>
                <w:rFonts w:eastAsia="Times New Roman" w:cstheme="minorHAnsi"/>
                <w:color w:val="000000" w:themeColor="text1"/>
                <w:lang w:eastAsia="es-MX"/>
              </w:rPr>
            </w:pPr>
            <w:r w:rsidRPr="00FC5B6A">
              <w:rPr>
                <w:rFonts w:eastAsia="Times New Roman" w:cstheme="minorHAnsi"/>
                <w:color w:val="000000" w:themeColor="text1"/>
                <w:lang w:eastAsia="es-MX"/>
              </w:rPr>
              <w:t>ECOSER, EE Colombia 2012</w:t>
            </w:r>
          </w:p>
        </w:tc>
        <w:tc>
          <w:tcPr>
            <w:tcW w:w="3685" w:type="dxa"/>
            <w:vAlign w:val="center"/>
            <w:hideMark/>
          </w:tcPr>
          <w:p w14:paraId="24396074" w14:textId="77777777" w:rsidR="0033156F" w:rsidRPr="00FC5B6A" w:rsidRDefault="0033156F" w:rsidP="00D56EE9">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Almacenamiento de carbono orgánico en el suelo</w:t>
            </w:r>
          </w:p>
        </w:tc>
        <w:tc>
          <w:tcPr>
            <w:tcW w:w="3073" w:type="dxa"/>
            <w:vAlign w:val="center"/>
            <w:hideMark/>
          </w:tcPr>
          <w:p w14:paraId="483611B7" w14:textId="77777777" w:rsidR="0033156F" w:rsidRPr="00FC5B6A" w:rsidRDefault="0033156F" w:rsidP="00D56EE9">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Almacenamiento de carbono orgánico en el suelo (ACOS)</w:t>
            </w:r>
          </w:p>
        </w:tc>
      </w:tr>
      <w:tr w:rsidR="0033156F" w:rsidRPr="00FC5B6A" w14:paraId="74E06231" w14:textId="77777777" w:rsidTr="00D56EE9">
        <w:trPr>
          <w:trHeight w:val="600"/>
          <w:jc w:val="center"/>
        </w:trPr>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3E8F28ED" w14:textId="77777777" w:rsidR="0033156F" w:rsidRPr="00FC5B6A" w:rsidRDefault="0033156F" w:rsidP="00D56EE9">
            <w:pPr>
              <w:spacing w:line="276" w:lineRule="auto"/>
              <w:rPr>
                <w:rFonts w:eastAsia="Times New Roman" w:cstheme="minorHAnsi"/>
                <w:color w:val="000000" w:themeColor="text1"/>
                <w:lang w:eastAsia="es-MX"/>
              </w:rPr>
            </w:pPr>
            <w:r w:rsidRPr="00FC5B6A">
              <w:rPr>
                <w:rFonts w:eastAsia="Times New Roman" w:cstheme="minorHAnsi"/>
                <w:color w:val="000000" w:themeColor="text1"/>
                <w:lang w:eastAsia="es-MX"/>
              </w:rPr>
              <w:lastRenderedPageBreak/>
              <w:t>ECOSER, EE Colombia 2012/2014</w:t>
            </w:r>
          </w:p>
        </w:tc>
        <w:tc>
          <w:tcPr>
            <w:tcW w:w="3685" w:type="dxa"/>
            <w:vAlign w:val="center"/>
            <w:hideMark/>
          </w:tcPr>
          <w:p w14:paraId="1521F3BA" w14:textId="77777777" w:rsidR="0033156F" w:rsidRPr="00FC5B6A" w:rsidRDefault="0033156F" w:rsidP="00D56EE9">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Almacenamiento de carbono en biomasa</w:t>
            </w:r>
          </w:p>
        </w:tc>
        <w:tc>
          <w:tcPr>
            <w:tcW w:w="3073" w:type="dxa"/>
            <w:vAlign w:val="center"/>
            <w:hideMark/>
          </w:tcPr>
          <w:p w14:paraId="528FE210" w14:textId="77777777" w:rsidR="0033156F" w:rsidRPr="00FC5B6A" w:rsidRDefault="0033156F" w:rsidP="00D56EE9">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Almacenamiento de carbono orgánico en biomasa (ACOB)</w:t>
            </w:r>
          </w:p>
        </w:tc>
      </w:tr>
      <w:tr w:rsidR="0033156F" w:rsidRPr="00FC5B6A" w14:paraId="738F9940" w14:textId="77777777" w:rsidTr="00D56EE9">
        <w:trPr>
          <w:cnfStyle w:val="000000100000" w:firstRow="0" w:lastRow="0" w:firstColumn="0" w:lastColumn="0" w:oddVBand="0" w:evenVBand="0" w:oddHBand="1" w:evenHBand="0" w:firstRowFirstColumn="0" w:firstRowLastColumn="0" w:lastRowFirstColumn="0" w:lastRowLastColumn="0"/>
          <w:trHeight w:val="900"/>
          <w:jc w:val="center"/>
        </w:trPr>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5F23DE98" w14:textId="77777777" w:rsidR="0033156F" w:rsidRPr="00FC5B6A" w:rsidRDefault="0033156F" w:rsidP="00D56EE9">
            <w:pPr>
              <w:spacing w:line="276" w:lineRule="auto"/>
              <w:rPr>
                <w:rFonts w:eastAsia="Times New Roman" w:cstheme="minorHAnsi"/>
                <w:color w:val="000000" w:themeColor="text1"/>
                <w:lang w:eastAsia="es-MX"/>
              </w:rPr>
            </w:pPr>
            <w:r w:rsidRPr="00FC5B6A">
              <w:rPr>
                <w:rFonts w:eastAsia="Times New Roman" w:cstheme="minorHAnsi"/>
                <w:color w:val="000000" w:themeColor="text1"/>
                <w:lang w:eastAsia="es-MX"/>
              </w:rPr>
              <w:t>ECOSER, EE Colombia 2012</w:t>
            </w:r>
          </w:p>
        </w:tc>
        <w:tc>
          <w:tcPr>
            <w:tcW w:w="3685" w:type="dxa"/>
            <w:vAlign w:val="center"/>
            <w:hideMark/>
          </w:tcPr>
          <w:p w14:paraId="7E1F6387" w14:textId="77777777" w:rsidR="0033156F" w:rsidRPr="00FC5B6A" w:rsidRDefault="0033156F" w:rsidP="00D56EE9">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Control de la erosión/ Moderación de movimientos en masa por cobertura vegetal</w:t>
            </w:r>
          </w:p>
        </w:tc>
        <w:tc>
          <w:tcPr>
            <w:tcW w:w="3073" w:type="dxa"/>
            <w:vAlign w:val="center"/>
            <w:hideMark/>
          </w:tcPr>
          <w:p w14:paraId="153A2AFB" w14:textId="77777777" w:rsidR="0033156F" w:rsidRPr="00FC5B6A" w:rsidRDefault="0033156F" w:rsidP="00D56EE9">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Control de erosión hídrica (CEH)</w:t>
            </w:r>
          </w:p>
        </w:tc>
      </w:tr>
      <w:tr w:rsidR="0033156F" w:rsidRPr="00FC5B6A" w14:paraId="6203E5EC" w14:textId="77777777" w:rsidTr="00D56EE9">
        <w:trPr>
          <w:trHeight w:val="600"/>
          <w:jc w:val="center"/>
        </w:trPr>
        <w:tc>
          <w:tcPr>
            <w:cnfStyle w:val="001000000000" w:firstRow="0" w:lastRow="0" w:firstColumn="1" w:lastColumn="0" w:oddVBand="0" w:evenVBand="0" w:oddHBand="0" w:evenHBand="0" w:firstRowFirstColumn="0" w:firstRowLastColumn="0" w:lastRowFirstColumn="0" w:lastRowLastColumn="0"/>
            <w:tcW w:w="2122" w:type="dxa"/>
            <w:vAlign w:val="center"/>
            <w:hideMark/>
          </w:tcPr>
          <w:p w14:paraId="66F723AF" w14:textId="77777777" w:rsidR="0033156F" w:rsidRPr="00FC5B6A" w:rsidRDefault="0033156F" w:rsidP="00D56EE9">
            <w:pPr>
              <w:spacing w:line="276" w:lineRule="auto"/>
              <w:rPr>
                <w:rFonts w:eastAsia="Times New Roman" w:cstheme="minorHAnsi"/>
                <w:color w:val="000000" w:themeColor="text1"/>
                <w:lang w:eastAsia="es-MX"/>
              </w:rPr>
            </w:pPr>
            <w:r w:rsidRPr="00FC5B6A">
              <w:rPr>
                <w:rFonts w:eastAsia="Times New Roman" w:cstheme="minorHAnsi"/>
                <w:color w:val="000000" w:themeColor="text1"/>
                <w:lang w:eastAsia="es-MX"/>
              </w:rPr>
              <w:t>ECOSER, EE Colombia 2014</w:t>
            </w:r>
          </w:p>
        </w:tc>
        <w:tc>
          <w:tcPr>
            <w:tcW w:w="3685" w:type="dxa"/>
            <w:vAlign w:val="center"/>
            <w:hideMark/>
          </w:tcPr>
          <w:p w14:paraId="3220DF18" w14:textId="77777777" w:rsidR="0033156F" w:rsidRPr="00FC5B6A" w:rsidRDefault="0033156F" w:rsidP="00D56EE9">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Fertilidad del suelo/ Clases agrológicas del suelo</w:t>
            </w:r>
          </w:p>
        </w:tc>
        <w:tc>
          <w:tcPr>
            <w:tcW w:w="3073" w:type="dxa"/>
            <w:noWrap/>
            <w:vAlign w:val="center"/>
            <w:hideMark/>
          </w:tcPr>
          <w:p w14:paraId="321B727D" w14:textId="77777777" w:rsidR="0033156F" w:rsidRPr="00FC5B6A" w:rsidRDefault="0033156F" w:rsidP="00D56EE9">
            <w:pPr>
              <w:spacing w:line="276" w:lineRule="auto"/>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eastAsia="es-MX"/>
              </w:rPr>
            </w:pPr>
            <w:proofErr w:type="spellStart"/>
            <w:r w:rsidRPr="00FC5B6A">
              <w:rPr>
                <w:rFonts w:eastAsia="Times New Roman" w:cstheme="minorHAnsi"/>
                <w:color w:val="000000" w:themeColor="text1"/>
                <w:lang w:eastAsia="es-MX"/>
              </w:rPr>
              <w:t>Fertilidad</w:t>
            </w:r>
            <w:proofErr w:type="spellEnd"/>
            <w:r w:rsidRPr="00FC5B6A">
              <w:rPr>
                <w:rFonts w:eastAsia="Times New Roman" w:cstheme="minorHAnsi"/>
                <w:color w:val="000000" w:themeColor="text1"/>
                <w:lang w:eastAsia="es-MX"/>
              </w:rPr>
              <w:t xml:space="preserve"> del </w:t>
            </w:r>
            <w:proofErr w:type="spellStart"/>
            <w:r w:rsidRPr="00FC5B6A">
              <w:rPr>
                <w:rFonts w:eastAsia="Times New Roman" w:cstheme="minorHAnsi"/>
                <w:color w:val="000000" w:themeColor="text1"/>
                <w:lang w:eastAsia="es-MX"/>
              </w:rPr>
              <w:t>suelo</w:t>
            </w:r>
            <w:proofErr w:type="spellEnd"/>
            <w:r w:rsidRPr="00FC5B6A">
              <w:rPr>
                <w:rFonts w:eastAsia="Times New Roman" w:cstheme="minorHAnsi"/>
                <w:color w:val="000000" w:themeColor="text1"/>
                <w:lang w:eastAsia="es-MX"/>
              </w:rPr>
              <w:t xml:space="preserve"> (FS)</w:t>
            </w:r>
          </w:p>
        </w:tc>
      </w:tr>
      <w:tr w:rsidR="0033156F" w:rsidRPr="00FC5B6A" w14:paraId="08EE173B" w14:textId="77777777" w:rsidTr="00D56EE9">
        <w:trPr>
          <w:cnfStyle w:val="000000100000" w:firstRow="0" w:lastRow="0" w:firstColumn="0" w:lastColumn="0" w:oddVBand="0" w:evenVBand="0" w:oddHBand="1" w:evenHBand="0" w:firstRowFirstColumn="0" w:firstRowLastColumn="0" w:lastRowFirstColumn="0" w:lastRowLastColumn="0"/>
          <w:trHeight w:val="600"/>
          <w:jc w:val="center"/>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4A9877A2" w14:textId="77777777" w:rsidR="0033156F" w:rsidRPr="00FC5B6A" w:rsidRDefault="0033156F" w:rsidP="00D56EE9">
            <w:pPr>
              <w:spacing w:line="276" w:lineRule="auto"/>
              <w:rPr>
                <w:rFonts w:eastAsia="Times New Roman" w:cstheme="minorHAnsi"/>
                <w:color w:val="000000" w:themeColor="text1"/>
                <w:lang w:eastAsia="es-MX"/>
              </w:rPr>
            </w:pPr>
            <w:r w:rsidRPr="00FC5B6A">
              <w:rPr>
                <w:rFonts w:eastAsia="Times New Roman" w:cstheme="minorHAnsi"/>
                <w:color w:val="000000" w:themeColor="text1"/>
                <w:lang w:eastAsia="es-MX"/>
              </w:rPr>
              <w:t>CPR/ECOSER</w:t>
            </w:r>
          </w:p>
        </w:tc>
        <w:tc>
          <w:tcPr>
            <w:tcW w:w="3685" w:type="dxa"/>
            <w:vAlign w:val="center"/>
          </w:tcPr>
          <w:p w14:paraId="56326714" w14:textId="77777777" w:rsidR="0033156F" w:rsidRPr="00FC5B6A" w:rsidRDefault="0033156F" w:rsidP="00D56EE9">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 xml:space="preserve">Franjas de 30m (DEM 30m) / Bosques de galería y </w:t>
            </w:r>
            <w:proofErr w:type="spellStart"/>
            <w:r w:rsidRPr="00FC5B6A">
              <w:rPr>
                <w:rFonts w:eastAsia="Times New Roman" w:cstheme="minorHAnsi"/>
                <w:color w:val="000000" w:themeColor="text1"/>
                <w:lang w:val="es-CO" w:eastAsia="es-MX"/>
              </w:rPr>
              <w:t>riparios</w:t>
            </w:r>
            <w:proofErr w:type="spellEnd"/>
            <w:r w:rsidRPr="00FC5B6A">
              <w:rPr>
                <w:rFonts w:eastAsia="Times New Roman" w:cstheme="minorHAnsi"/>
                <w:color w:val="000000" w:themeColor="text1"/>
                <w:lang w:val="es-CO" w:eastAsia="es-MX"/>
              </w:rPr>
              <w:t xml:space="preserve"> / Pérdida anual de sedimentos / Áreas de captación de agua</w:t>
            </w:r>
          </w:p>
        </w:tc>
        <w:tc>
          <w:tcPr>
            <w:tcW w:w="3073" w:type="dxa"/>
            <w:noWrap/>
            <w:vAlign w:val="center"/>
          </w:tcPr>
          <w:p w14:paraId="66A95350" w14:textId="77777777" w:rsidR="0033156F" w:rsidRPr="00FC5B6A" w:rsidRDefault="0033156F" w:rsidP="00D56EE9">
            <w:pPr>
              <w:spacing w:line="276" w:lineRule="auto"/>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MX"/>
              </w:rPr>
            </w:pPr>
            <w:r w:rsidRPr="00FC5B6A">
              <w:rPr>
                <w:rFonts w:eastAsia="Times New Roman" w:cstheme="minorHAnsi"/>
                <w:color w:val="000000" w:themeColor="text1"/>
                <w:lang w:val="es-CO" w:eastAsia="es-MX"/>
              </w:rPr>
              <w:t>Función ecosistémica de retención de sedimentos en franjas de vegetación rivereña</w:t>
            </w:r>
          </w:p>
        </w:tc>
      </w:tr>
    </w:tbl>
    <w:p w14:paraId="30FDECE1" w14:textId="77777777" w:rsidR="0033156F" w:rsidRPr="00FC5B6A" w:rsidRDefault="0033156F" w:rsidP="0033156F">
      <w:pPr>
        <w:spacing w:after="0" w:line="276" w:lineRule="auto"/>
        <w:jc w:val="center"/>
        <w:rPr>
          <w:rFonts w:cstheme="minorHAnsi"/>
          <w:color w:val="000000" w:themeColor="text1"/>
        </w:rPr>
      </w:pPr>
      <w:r w:rsidRPr="00FC5B6A">
        <w:rPr>
          <w:rFonts w:cstheme="minorHAnsi"/>
          <w:color w:val="000000" w:themeColor="text1"/>
        </w:rPr>
        <w:t>Fuente: Corporación Paisajes Rurales</w:t>
      </w:r>
    </w:p>
    <w:p w14:paraId="1875414B" w14:textId="77777777" w:rsidR="0033156F" w:rsidRPr="00FC5B6A" w:rsidRDefault="0033156F" w:rsidP="0033156F">
      <w:pPr>
        <w:spacing w:after="0" w:line="276" w:lineRule="auto"/>
        <w:jc w:val="both"/>
        <w:rPr>
          <w:rFonts w:cstheme="minorHAnsi"/>
          <w:b/>
          <w:bCs/>
          <w:smallCaps/>
          <w:color w:val="000000" w:themeColor="text1"/>
        </w:rPr>
      </w:pPr>
    </w:p>
    <w:p w14:paraId="65568DA5" w14:textId="61CC57CF" w:rsidR="0033156F" w:rsidRPr="00FC5B6A" w:rsidRDefault="0033156F" w:rsidP="0033156F">
      <w:pPr>
        <w:spacing w:after="0" w:line="276" w:lineRule="auto"/>
        <w:jc w:val="both"/>
        <w:rPr>
          <w:rFonts w:cstheme="minorHAnsi"/>
          <w:color w:val="000000" w:themeColor="text1"/>
        </w:rPr>
      </w:pPr>
      <w:bookmarkStart w:id="46" w:name="_Toc465354995"/>
      <w:r w:rsidRPr="00FC5B6A">
        <w:rPr>
          <w:rFonts w:cstheme="minorHAnsi"/>
          <w:color w:val="000000" w:themeColor="text1"/>
        </w:rPr>
        <w:t>A continuación, se presentan y describen cada una de las Funciones Ecosistémicas evaluadas:</w:t>
      </w:r>
      <w:bookmarkEnd w:id="46"/>
    </w:p>
    <w:p w14:paraId="4484E402" w14:textId="77777777" w:rsidR="0033156F" w:rsidRPr="00FC5B6A" w:rsidRDefault="0033156F" w:rsidP="0033156F">
      <w:pPr>
        <w:spacing w:after="0" w:line="276" w:lineRule="auto"/>
        <w:rPr>
          <w:rFonts w:cstheme="minorHAnsi"/>
          <w:color w:val="000000" w:themeColor="text1"/>
        </w:rPr>
      </w:pPr>
    </w:p>
    <w:p w14:paraId="392BFE3D" w14:textId="77777777" w:rsidR="0033156F" w:rsidRPr="00FC5B6A" w:rsidRDefault="0033156F" w:rsidP="000C325D">
      <w:pPr>
        <w:pStyle w:val="Prrafodelista"/>
        <w:numPr>
          <w:ilvl w:val="0"/>
          <w:numId w:val="10"/>
        </w:numPr>
        <w:ind w:left="0" w:firstLine="0"/>
        <w:rPr>
          <w:rFonts w:eastAsiaTheme="minorHAnsi" w:cstheme="minorHAnsi"/>
          <w:color w:val="000000" w:themeColor="text1"/>
          <w:kern w:val="2"/>
          <w:sz w:val="22"/>
          <w14:ligatures w14:val="standardContextual"/>
        </w:rPr>
      </w:pPr>
      <w:bookmarkStart w:id="47" w:name="_Toc478398810"/>
      <w:bookmarkStart w:id="48" w:name="_Toc465354996"/>
      <w:r w:rsidRPr="00FC5B6A">
        <w:rPr>
          <w:rFonts w:eastAsiaTheme="minorHAnsi" w:cstheme="minorHAnsi"/>
          <w:b/>
          <w:bCs/>
          <w:caps/>
          <w:kern w:val="2"/>
          <w14:ligatures w14:val="standardContextual"/>
        </w:rPr>
        <w:t>Valor de Conservación del paisaje para la biodiversidad (VCPB):</w:t>
      </w:r>
      <w:bookmarkEnd w:id="47"/>
      <w:r w:rsidRPr="00FC5B6A">
        <w:rPr>
          <w:rFonts w:eastAsiaTheme="minorHAnsi" w:cstheme="minorHAnsi"/>
          <w:caps/>
          <w:kern w:val="2"/>
          <w14:ligatures w14:val="standardContextual"/>
        </w:rPr>
        <w:t xml:space="preserve"> </w:t>
      </w:r>
      <w:r w:rsidRPr="00FC5B6A">
        <w:rPr>
          <w:rFonts w:eastAsiaTheme="minorHAnsi" w:cstheme="minorHAnsi"/>
          <w:color w:val="000000" w:themeColor="text1"/>
          <w:kern w:val="2"/>
          <w:sz w:val="22"/>
          <w14:ligatures w14:val="standardContextual"/>
        </w:rPr>
        <w:t xml:space="preserve">Esta función ecosistémica resulta de la estimación del Índice de Valor de Conservación (IVC) del paisaje, considerando la información de los grupos biológicos seleccionados, según la metodología de diseño de Herramientas de Manejo del Paisaje (Lozano Zambrano, 2009). Este indicador resalta el valor de las coberturas en el paisaje como hábitat y fuente de alimento para las especies con altos requerimientos de éstos en el paisaje. </w:t>
      </w:r>
    </w:p>
    <w:p w14:paraId="67C53802" w14:textId="77777777" w:rsidR="0033156F" w:rsidRPr="00FC5B6A" w:rsidRDefault="0033156F" w:rsidP="000C325D">
      <w:pPr>
        <w:pStyle w:val="Prrafodelista"/>
        <w:ind w:left="0"/>
        <w:rPr>
          <w:rFonts w:eastAsiaTheme="minorHAnsi" w:cstheme="minorHAnsi"/>
          <w:color w:val="000000" w:themeColor="text1"/>
          <w:kern w:val="2"/>
          <w:sz w:val="22"/>
          <w14:ligatures w14:val="standardContextual"/>
        </w:rPr>
      </w:pPr>
    </w:p>
    <w:p w14:paraId="14029A5E" w14:textId="495E00A5" w:rsidR="0033156F" w:rsidRPr="00FC5B6A" w:rsidRDefault="0033156F" w:rsidP="000C325D">
      <w:pPr>
        <w:pStyle w:val="Prrafodelista"/>
        <w:ind w:left="0"/>
        <w:rPr>
          <w:rFonts w:eastAsiaTheme="minorEastAsia" w:cstheme="minorBidi"/>
          <w:color w:val="000000" w:themeColor="text1"/>
          <w:kern w:val="2"/>
          <w:sz w:val="22"/>
          <w14:ligatures w14:val="standardContextual"/>
        </w:rPr>
      </w:pPr>
      <w:r w:rsidRPr="00FC5B6A">
        <w:rPr>
          <w:rFonts w:eastAsiaTheme="minorEastAsia" w:cstheme="minorBidi"/>
          <w:color w:val="000000" w:themeColor="text1"/>
          <w:kern w:val="2"/>
          <w:sz w:val="22"/>
          <w14:ligatures w14:val="standardContextual"/>
        </w:rPr>
        <w:t xml:space="preserve">Para el ejercicio de zonificación ambiental, se utilizaron los valores de riqueza y conectividad de la capa de riqueza de especies del estudio Planeación ambiental para la conservación de la biodiversidad en las áreas operativas de Ecopetrol localizadas en el Magdalena Medio y los Llanos Orientales de Colombia </w:t>
      </w:r>
      <w:sdt>
        <w:sdtPr>
          <w:rPr>
            <w:rFonts w:eastAsiaTheme="minorEastAsia" w:cstheme="minorBidi"/>
            <w:color w:val="000000" w:themeColor="text1"/>
            <w:kern w:val="2"/>
            <w:sz w:val="22"/>
            <w14:ligatures w14:val="standardContextual"/>
          </w:rPr>
          <w:id w:val="210242102"/>
          <w:citation/>
        </w:sdtPr>
        <w:sdtContent>
          <w:r w:rsidRPr="00FC5B6A">
            <w:rPr>
              <w:rFonts w:eastAsiaTheme="minorEastAsia" w:cstheme="minorBidi"/>
              <w:color w:val="000000" w:themeColor="text1"/>
              <w:kern w:val="2"/>
              <w:sz w:val="22"/>
              <w14:ligatures w14:val="standardContextual"/>
            </w:rPr>
            <w:fldChar w:fldCharType="begin"/>
          </w:r>
          <w:r w:rsidRPr="00FC5B6A">
            <w:rPr>
              <w:rFonts w:eastAsiaTheme="minorEastAsia" w:cstheme="minorBidi"/>
              <w:color w:val="000000" w:themeColor="text1"/>
              <w:kern w:val="2"/>
              <w:sz w:val="22"/>
              <w14:ligatures w14:val="standardContextual"/>
            </w:rPr>
            <w:instrText xml:space="preserve">CITATION Cor11 \l 9226 </w:instrText>
          </w:r>
          <w:r w:rsidRPr="00FC5B6A">
            <w:rPr>
              <w:rFonts w:eastAsiaTheme="minorEastAsia" w:cstheme="minorBidi"/>
              <w:color w:val="000000" w:themeColor="text1"/>
              <w:kern w:val="2"/>
              <w:sz w:val="22"/>
              <w14:ligatures w14:val="standardContextual"/>
            </w:rPr>
            <w:fldChar w:fldCharType="separate"/>
          </w:r>
          <w:r w:rsidRPr="00FC5B6A">
            <w:rPr>
              <w:rFonts w:eastAsiaTheme="minorEastAsia" w:cstheme="minorBidi"/>
              <w:color w:val="000000" w:themeColor="text1"/>
              <w:kern w:val="2"/>
              <w:sz w:val="22"/>
              <w14:ligatures w14:val="standardContextual"/>
            </w:rPr>
            <w:t>(Corzo, y otros, 2011)</w:t>
          </w:r>
          <w:r w:rsidRPr="00FC5B6A">
            <w:rPr>
              <w:rFonts w:eastAsiaTheme="minorEastAsia" w:cstheme="minorBidi"/>
              <w:color w:val="000000" w:themeColor="text1"/>
              <w:kern w:val="2"/>
              <w:sz w:val="22"/>
              <w14:ligatures w14:val="standardContextual"/>
            </w:rPr>
            <w:fldChar w:fldCharType="end"/>
          </w:r>
        </w:sdtContent>
      </w:sdt>
      <w:r w:rsidRPr="00FC5B6A">
        <w:rPr>
          <w:rFonts w:eastAsiaTheme="minorEastAsia" w:cstheme="minorBidi"/>
          <w:color w:val="000000" w:themeColor="text1"/>
          <w:kern w:val="2"/>
          <w:sz w:val="22"/>
          <w14:ligatures w14:val="standardContextual"/>
        </w:rPr>
        <w:t xml:space="preserve">. Adicionalmente se generaron categorías de representatividad de los diferentes ecosistemas presentes en cada </w:t>
      </w:r>
      <w:r w:rsidR="00E86C17" w:rsidRPr="00FC5B6A">
        <w:rPr>
          <w:rFonts w:eastAsiaTheme="minorEastAsia" w:cstheme="minorBidi"/>
          <w:color w:val="000000" w:themeColor="text1"/>
          <w:kern w:val="2"/>
          <w:sz w:val="22"/>
          <w14:ligatures w14:val="standardContextual"/>
        </w:rPr>
        <w:t>subregión supramunicipal</w:t>
      </w:r>
      <w:r w:rsidRPr="00FC5B6A">
        <w:rPr>
          <w:rFonts w:eastAsiaTheme="minorEastAsia" w:cstheme="minorBidi"/>
          <w:color w:val="000000" w:themeColor="text1"/>
          <w:kern w:val="2"/>
          <w:sz w:val="22"/>
          <w14:ligatures w14:val="standardContextual"/>
        </w:rPr>
        <w:t>, a parir del nivel de su presencia en áreas protegidas (a menor protección mayor valor de representatividad asignada). Con la superposición de estas tres capas, se generó el valor de conservación del paisaje de cada Subregión</w:t>
      </w:r>
      <w:r w:rsidR="00081F26" w:rsidRPr="00FC5B6A">
        <w:rPr>
          <w:rFonts w:eastAsiaTheme="minorEastAsia" w:cstheme="minorBidi"/>
          <w:color w:val="000000" w:themeColor="text1"/>
          <w:kern w:val="2"/>
          <w:sz w:val="22"/>
          <w14:ligatures w14:val="standardContextual"/>
        </w:rPr>
        <w:t xml:space="preserve"> </w:t>
      </w:r>
      <w:r w:rsidR="00D55DB2" w:rsidRPr="00FC5B6A">
        <w:rPr>
          <w:rFonts w:eastAsiaTheme="minorEastAsia" w:cstheme="minorBidi"/>
          <w:color w:val="000000" w:themeColor="text1"/>
          <w:kern w:val="2"/>
          <w:sz w:val="22"/>
          <w14:ligatures w14:val="standardContextual"/>
        </w:rPr>
        <w:t>supramunicipal</w:t>
      </w:r>
      <w:r w:rsidRPr="00FC5B6A">
        <w:rPr>
          <w:rFonts w:eastAsiaTheme="minorEastAsia" w:cstheme="minorBidi"/>
          <w:color w:val="000000" w:themeColor="text1"/>
          <w:kern w:val="2"/>
          <w:sz w:val="22"/>
          <w14:ligatures w14:val="standardContextual"/>
        </w:rPr>
        <w:t>.</w:t>
      </w:r>
    </w:p>
    <w:p w14:paraId="11D9F48F" w14:textId="194E34BB" w:rsidR="22DF84DA" w:rsidRPr="000C325D" w:rsidRDefault="22DF84DA" w:rsidP="000C325D">
      <w:pPr>
        <w:pStyle w:val="Prrafodelista"/>
        <w:ind w:left="0"/>
        <w:rPr>
          <w:rStyle w:val="SubttuloCar"/>
          <w:rFonts w:asciiTheme="minorHAnsi" w:hAnsiTheme="minorHAnsi" w:cstheme="minorHAnsi"/>
          <w:b/>
          <w:bCs/>
          <w:color w:val="000000" w:themeColor="text1"/>
          <w:sz w:val="22"/>
          <w:szCs w:val="22"/>
          <w:lang w:val="es-CO"/>
        </w:rPr>
      </w:pPr>
    </w:p>
    <w:bookmarkEnd w:id="48"/>
    <w:p w14:paraId="5D4C00D6" w14:textId="33BA0A2C" w:rsidR="0033156F" w:rsidRPr="000C325D" w:rsidRDefault="22DF84DA" w:rsidP="000C325D">
      <w:pPr>
        <w:pStyle w:val="Prrafodelista"/>
        <w:numPr>
          <w:ilvl w:val="0"/>
          <w:numId w:val="10"/>
        </w:numPr>
        <w:ind w:left="0" w:firstLine="0"/>
        <w:rPr>
          <w:rStyle w:val="SubttuloCar"/>
          <w:rFonts w:asciiTheme="minorHAnsi" w:hAnsiTheme="minorHAnsi" w:cstheme="minorHAnsi"/>
          <w:b/>
          <w:bCs/>
          <w:caps w:val="0"/>
          <w:color w:val="000000" w:themeColor="text1"/>
          <w:sz w:val="22"/>
          <w:szCs w:val="22"/>
          <w:lang w:val="es-CO"/>
        </w:rPr>
      </w:pPr>
      <w:r w:rsidRPr="000C325D">
        <w:rPr>
          <w:rStyle w:val="SubttuloCar"/>
          <w:rFonts w:asciiTheme="minorHAnsi" w:hAnsiTheme="minorHAnsi" w:cstheme="minorHAnsi"/>
          <w:b/>
          <w:bCs/>
          <w:color w:val="000000" w:themeColor="text1"/>
          <w:sz w:val="22"/>
          <w:szCs w:val="22"/>
          <w:lang w:val="es-CO"/>
        </w:rPr>
        <w:t xml:space="preserve">Almacenamiento de carbono orgánico en el suelo (ACOS): </w:t>
      </w:r>
      <w:r w:rsidR="000C325D" w:rsidRPr="000C325D">
        <w:rPr>
          <w:rStyle w:val="SubttuloCar"/>
          <w:rFonts w:asciiTheme="minorHAnsi" w:hAnsiTheme="minorHAnsi" w:cstheme="minorHAnsi"/>
          <w:caps w:val="0"/>
          <w:color w:val="000000" w:themeColor="text1"/>
          <w:sz w:val="22"/>
          <w:szCs w:val="22"/>
          <w:lang w:val="es-CO"/>
        </w:rPr>
        <w:t xml:space="preserve">esta capa representa áreas de menor a mayor cantidad de almacenamiento de carbono orgánico en suelo, tomando como insumo principal los valores de acumulación presentes en los grupos de suelos que se encuentran en el área de estudio, de acuerdo con, el </w:t>
      </w:r>
      <w:proofErr w:type="spellStart"/>
      <w:r w:rsidR="000C325D" w:rsidRPr="000C325D">
        <w:rPr>
          <w:rStyle w:val="SubttuloCar"/>
          <w:rFonts w:asciiTheme="minorHAnsi" w:hAnsiTheme="minorHAnsi" w:cstheme="minorHAnsi"/>
          <w:caps w:val="0"/>
          <w:color w:val="000000" w:themeColor="text1"/>
          <w:sz w:val="22"/>
          <w:szCs w:val="22"/>
          <w:lang w:val="es-CO"/>
        </w:rPr>
        <w:t>intergovernmental</w:t>
      </w:r>
      <w:proofErr w:type="spellEnd"/>
      <w:r w:rsidR="000C325D" w:rsidRPr="000C325D">
        <w:rPr>
          <w:rStyle w:val="SubttuloCar"/>
          <w:rFonts w:asciiTheme="minorHAnsi" w:hAnsiTheme="minorHAnsi" w:cstheme="minorHAnsi"/>
          <w:caps w:val="0"/>
          <w:color w:val="000000" w:themeColor="text1"/>
          <w:sz w:val="22"/>
          <w:szCs w:val="22"/>
          <w:lang w:val="es-CO"/>
        </w:rPr>
        <w:t xml:space="preserve"> panel </w:t>
      </w:r>
      <w:proofErr w:type="spellStart"/>
      <w:r w:rsidR="000C325D" w:rsidRPr="000C325D">
        <w:rPr>
          <w:rStyle w:val="SubttuloCar"/>
          <w:rFonts w:asciiTheme="minorHAnsi" w:hAnsiTheme="minorHAnsi" w:cstheme="minorHAnsi"/>
          <w:caps w:val="0"/>
          <w:color w:val="000000" w:themeColor="text1"/>
          <w:sz w:val="22"/>
          <w:szCs w:val="22"/>
          <w:lang w:val="es-CO"/>
        </w:rPr>
        <w:t>of</w:t>
      </w:r>
      <w:proofErr w:type="spellEnd"/>
      <w:r w:rsidR="000C325D" w:rsidRPr="000C325D">
        <w:rPr>
          <w:rStyle w:val="SubttuloCar"/>
          <w:rFonts w:asciiTheme="minorHAnsi" w:hAnsiTheme="minorHAnsi" w:cstheme="minorHAnsi"/>
          <w:caps w:val="0"/>
          <w:color w:val="000000" w:themeColor="text1"/>
          <w:sz w:val="22"/>
          <w:szCs w:val="22"/>
          <w:lang w:val="es-CO"/>
        </w:rPr>
        <w:t xml:space="preserve"> </w:t>
      </w:r>
      <w:proofErr w:type="spellStart"/>
      <w:r w:rsidR="000C325D" w:rsidRPr="000C325D">
        <w:rPr>
          <w:rStyle w:val="SubttuloCar"/>
          <w:rFonts w:asciiTheme="minorHAnsi" w:hAnsiTheme="minorHAnsi" w:cstheme="minorHAnsi"/>
          <w:caps w:val="0"/>
          <w:color w:val="000000" w:themeColor="text1"/>
          <w:sz w:val="22"/>
          <w:szCs w:val="22"/>
          <w:lang w:val="es-CO"/>
        </w:rPr>
        <w:t>experts</w:t>
      </w:r>
      <w:proofErr w:type="spellEnd"/>
      <w:r w:rsidR="000C325D" w:rsidRPr="000C325D">
        <w:rPr>
          <w:rStyle w:val="SubttuloCar"/>
          <w:rFonts w:asciiTheme="minorHAnsi" w:hAnsiTheme="minorHAnsi" w:cstheme="minorHAnsi"/>
          <w:caps w:val="0"/>
          <w:color w:val="000000" w:themeColor="text1"/>
          <w:sz w:val="22"/>
          <w:szCs w:val="22"/>
          <w:lang w:val="es-CO"/>
        </w:rPr>
        <w:t xml:space="preserve"> </w:t>
      </w:r>
      <w:proofErr w:type="spellStart"/>
      <w:r w:rsidR="000C325D" w:rsidRPr="000C325D">
        <w:rPr>
          <w:rStyle w:val="SubttuloCar"/>
          <w:rFonts w:asciiTheme="minorHAnsi" w:hAnsiTheme="minorHAnsi" w:cstheme="minorHAnsi"/>
          <w:caps w:val="0"/>
          <w:color w:val="000000" w:themeColor="text1"/>
          <w:sz w:val="22"/>
          <w:szCs w:val="22"/>
          <w:lang w:val="es-CO"/>
        </w:rPr>
        <w:t>on</w:t>
      </w:r>
      <w:proofErr w:type="spellEnd"/>
      <w:r w:rsidR="000C325D" w:rsidRPr="000C325D">
        <w:rPr>
          <w:rStyle w:val="SubttuloCar"/>
          <w:rFonts w:asciiTheme="minorHAnsi" w:hAnsiTheme="minorHAnsi" w:cstheme="minorHAnsi"/>
          <w:caps w:val="0"/>
          <w:color w:val="000000" w:themeColor="text1"/>
          <w:sz w:val="22"/>
          <w:szCs w:val="22"/>
          <w:lang w:val="es-CO"/>
        </w:rPr>
        <w:t xml:space="preserve"> </w:t>
      </w:r>
      <w:proofErr w:type="spellStart"/>
      <w:r w:rsidR="000C325D" w:rsidRPr="000C325D">
        <w:rPr>
          <w:rStyle w:val="SubttuloCar"/>
          <w:rFonts w:asciiTheme="minorHAnsi" w:hAnsiTheme="minorHAnsi" w:cstheme="minorHAnsi"/>
          <w:caps w:val="0"/>
          <w:color w:val="000000" w:themeColor="text1"/>
          <w:sz w:val="22"/>
          <w:szCs w:val="22"/>
          <w:lang w:val="es-CO"/>
        </w:rPr>
        <w:t>climate</w:t>
      </w:r>
      <w:proofErr w:type="spellEnd"/>
      <w:r w:rsidR="000C325D" w:rsidRPr="000C325D">
        <w:rPr>
          <w:rStyle w:val="SubttuloCar"/>
          <w:rFonts w:asciiTheme="minorHAnsi" w:hAnsiTheme="minorHAnsi" w:cstheme="minorHAnsi"/>
          <w:caps w:val="0"/>
          <w:color w:val="000000" w:themeColor="text1"/>
          <w:sz w:val="22"/>
          <w:szCs w:val="22"/>
          <w:lang w:val="es-CO"/>
        </w:rPr>
        <w:t xml:space="preserve"> </w:t>
      </w:r>
      <w:proofErr w:type="spellStart"/>
      <w:r w:rsidR="000C325D" w:rsidRPr="000C325D">
        <w:rPr>
          <w:rStyle w:val="SubttuloCar"/>
          <w:rFonts w:asciiTheme="minorHAnsi" w:hAnsiTheme="minorHAnsi" w:cstheme="minorHAnsi"/>
          <w:caps w:val="0"/>
          <w:color w:val="000000" w:themeColor="text1"/>
          <w:sz w:val="22"/>
          <w:szCs w:val="22"/>
          <w:lang w:val="es-CO"/>
        </w:rPr>
        <w:t>change</w:t>
      </w:r>
      <w:proofErr w:type="spellEnd"/>
      <w:r w:rsidR="000C325D" w:rsidRPr="000C325D">
        <w:rPr>
          <w:rStyle w:val="SubttuloCar"/>
          <w:rFonts w:asciiTheme="minorHAnsi" w:hAnsiTheme="minorHAnsi" w:cstheme="minorHAnsi"/>
          <w:caps w:val="0"/>
          <w:color w:val="000000" w:themeColor="text1"/>
          <w:sz w:val="22"/>
          <w:szCs w:val="22"/>
          <w:lang w:val="es-CO"/>
        </w:rPr>
        <w:t xml:space="preserve"> (</w:t>
      </w:r>
      <w:proofErr w:type="spellStart"/>
      <w:r w:rsidR="000C325D" w:rsidRPr="000C325D">
        <w:rPr>
          <w:rStyle w:val="SubttuloCar"/>
          <w:rFonts w:asciiTheme="minorHAnsi" w:hAnsiTheme="minorHAnsi" w:cstheme="minorHAnsi"/>
          <w:caps w:val="0"/>
          <w:color w:val="000000" w:themeColor="text1"/>
          <w:sz w:val="22"/>
          <w:szCs w:val="22"/>
          <w:lang w:val="es-CO"/>
        </w:rPr>
        <w:t>ipcc</w:t>
      </w:r>
      <w:proofErr w:type="spellEnd"/>
      <w:r w:rsidR="000C325D" w:rsidRPr="000C325D">
        <w:rPr>
          <w:rStyle w:val="SubttuloCar"/>
          <w:rFonts w:asciiTheme="minorHAnsi" w:hAnsiTheme="minorHAnsi" w:cstheme="minorHAnsi"/>
          <w:caps w:val="0"/>
          <w:color w:val="000000" w:themeColor="text1"/>
          <w:sz w:val="22"/>
          <w:szCs w:val="22"/>
          <w:lang w:val="es-CO"/>
        </w:rPr>
        <w:t>, 2006).</w:t>
      </w:r>
      <w:bookmarkStart w:id="49" w:name="_Toc478398812"/>
    </w:p>
    <w:bookmarkEnd w:id="49"/>
    <w:p w14:paraId="729FDE2A" w14:textId="77777777" w:rsidR="0033156F" w:rsidRPr="00FC5B6A" w:rsidRDefault="0033156F" w:rsidP="000C325D">
      <w:pPr>
        <w:pStyle w:val="Prrafodelista"/>
        <w:numPr>
          <w:ilvl w:val="0"/>
          <w:numId w:val="10"/>
        </w:numPr>
        <w:ind w:left="0" w:firstLine="0"/>
        <w:rPr>
          <w:rFonts w:cstheme="minorHAnsi"/>
          <w:color w:val="000000" w:themeColor="text1"/>
          <w:sz w:val="22"/>
        </w:rPr>
      </w:pPr>
      <w:r w:rsidRPr="00FC5B6A">
        <w:rPr>
          <w:rStyle w:val="SubttuloCar"/>
          <w:rFonts w:asciiTheme="minorHAnsi" w:hAnsiTheme="minorHAnsi" w:cstheme="minorHAnsi"/>
          <w:b/>
          <w:bCs/>
          <w:color w:val="000000" w:themeColor="text1"/>
          <w:sz w:val="22"/>
          <w:szCs w:val="22"/>
          <w:lang w:val="es-CO"/>
        </w:rPr>
        <w:t>Almacenamiento de carbono orgánico en biomasa (ACOB)</w:t>
      </w:r>
      <w:r w:rsidRPr="00FC5B6A">
        <w:rPr>
          <w:rFonts w:cstheme="minorHAnsi"/>
          <w:b/>
          <w:bCs/>
          <w:color w:val="000000" w:themeColor="text1"/>
          <w:sz w:val="22"/>
        </w:rPr>
        <w:t>:</w:t>
      </w:r>
      <w:r w:rsidRPr="00FC5B6A">
        <w:rPr>
          <w:rFonts w:cstheme="minorHAnsi"/>
          <w:color w:val="000000" w:themeColor="text1"/>
          <w:sz w:val="22"/>
        </w:rPr>
        <w:t xml:space="preserve"> Esta capa indica la capacidad de almacenamiento y captura de carbono, por parte de la biomasa de las diferentes clases de vegetación presente en el mapa de cobertura actual del área de estudio, de acuerdo con los valores por defecto que maneja el Panel Intergubernamental de Expertos en Cambio Climático para los bosques y otros usos del suelo (IPPC, 2006).</w:t>
      </w:r>
    </w:p>
    <w:p w14:paraId="0EC5C376" w14:textId="2B4BC788" w:rsidR="0033156F" w:rsidRPr="00FC5B6A" w:rsidRDefault="0033156F" w:rsidP="000C325D">
      <w:pPr>
        <w:spacing w:after="0" w:line="240" w:lineRule="auto"/>
        <w:rPr>
          <w:color w:val="000000" w:themeColor="text1"/>
        </w:rPr>
      </w:pPr>
      <w:r w:rsidRPr="00FC5B6A">
        <w:rPr>
          <w:b/>
          <w:bCs/>
          <w:caps/>
        </w:rPr>
        <w:t>Control de erosión hídrica (CEH):</w:t>
      </w:r>
      <w:r w:rsidRPr="00FC5B6A">
        <w:rPr>
          <w:color w:val="000000" w:themeColor="text1"/>
        </w:rPr>
        <w:t xml:space="preserve"> Esta capa representa la capacidad de la vegetación para mantener los horizontes húmicos del suelo que tienen probabilidad de perderse por acción directa del agua y la gravedad como agentes de erosión superficial </w:t>
      </w:r>
      <w:sdt>
        <w:sdtPr>
          <w:rPr>
            <w:color w:val="000000" w:themeColor="text1"/>
          </w:rPr>
          <w:id w:val="-815565933"/>
          <w:citation/>
        </w:sdtPr>
        <w:sdtContent>
          <w:r w:rsidRPr="00FC5B6A">
            <w:rPr>
              <w:color w:val="000000" w:themeColor="text1"/>
            </w:rPr>
            <w:fldChar w:fldCharType="begin"/>
          </w:r>
          <w:r w:rsidRPr="00FC5B6A">
            <w:rPr>
              <w:color w:val="000000" w:themeColor="text1"/>
            </w:rPr>
            <w:instrText xml:space="preserve"> CITATION Bar14 \l 9226 </w:instrText>
          </w:r>
          <w:r w:rsidRPr="00FC5B6A">
            <w:rPr>
              <w:color w:val="000000" w:themeColor="text1"/>
            </w:rPr>
            <w:fldChar w:fldCharType="separate"/>
          </w:r>
          <w:r w:rsidRPr="00FC5B6A">
            <w:rPr>
              <w:noProof/>
              <w:color w:val="000000" w:themeColor="text1"/>
            </w:rPr>
            <w:t>(Barral, 2014)</w:t>
          </w:r>
          <w:r w:rsidRPr="00FC5B6A">
            <w:rPr>
              <w:color w:val="000000" w:themeColor="text1"/>
            </w:rPr>
            <w:fldChar w:fldCharType="end"/>
          </w:r>
        </w:sdtContent>
      </w:sdt>
      <w:r w:rsidRPr="00FC5B6A">
        <w:rPr>
          <w:color w:val="000000" w:themeColor="text1"/>
        </w:rPr>
        <w:t xml:space="preserve">. </w:t>
      </w:r>
    </w:p>
    <w:p w14:paraId="3F75966C" w14:textId="77777777" w:rsidR="00C8292E" w:rsidRPr="00FC5B6A" w:rsidRDefault="00C8292E" w:rsidP="000C325D">
      <w:pPr>
        <w:spacing w:after="0" w:line="240" w:lineRule="auto"/>
        <w:rPr>
          <w:rFonts w:cstheme="minorHAnsi"/>
          <w:color w:val="000000" w:themeColor="text1"/>
        </w:rPr>
      </w:pPr>
    </w:p>
    <w:p w14:paraId="0F5444FE" w14:textId="4860D705" w:rsidR="008166C2" w:rsidRPr="000C325D" w:rsidRDefault="0033156F" w:rsidP="000C325D">
      <w:pPr>
        <w:keepNext/>
        <w:numPr>
          <w:ilvl w:val="0"/>
          <w:numId w:val="10"/>
        </w:numPr>
        <w:spacing w:after="0" w:line="240" w:lineRule="auto"/>
        <w:ind w:left="0" w:firstLine="0"/>
        <w:jc w:val="both"/>
        <w:rPr>
          <w:rFonts w:cstheme="minorHAnsi"/>
          <w:color w:val="000000" w:themeColor="text1"/>
        </w:rPr>
      </w:pPr>
      <w:r w:rsidRPr="00FC5B6A">
        <w:rPr>
          <w:rFonts w:cstheme="minorHAnsi"/>
          <w:b/>
          <w:bCs/>
          <w:caps/>
        </w:rPr>
        <w:t>Fertilidad del suelo (FS):</w:t>
      </w:r>
      <w:r w:rsidRPr="00FC5B6A">
        <w:rPr>
          <w:rFonts w:cstheme="minorHAnsi"/>
          <w:color w:val="000000" w:themeColor="text1"/>
        </w:rPr>
        <w:t xml:space="preserve"> Esta capa representa la capacidad de los suelos para brindar el soporte necesario para la producción agrícola </w:t>
      </w:r>
      <w:sdt>
        <w:sdtPr>
          <w:rPr>
            <w:rFonts w:cstheme="minorHAnsi"/>
            <w:color w:val="000000" w:themeColor="text1"/>
          </w:rPr>
          <w:id w:val="-267775175"/>
          <w:citation/>
        </w:sdtPr>
        <w:sdtContent>
          <w:r w:rsidRPr="00FC5B6A">
            <w:rPr>
              <w:rFonts w:cstheme="minorHAnsi"/>
              <w:color w:val="000000" w:themeColor="text1"/>
            </w:rPr>
            <w:fldChar w:fldCharType="begin"/>
          </w:r>
          <w:r w:rsidRPr="00FC5B6A">
            <w:rPr>
              <w:rFonts w:cstheme="minorHAnsi"/>
              <w:color w:val="000000" w:themeColor="text1"/>
            </w:rPr>
            <w:instrText xml:space="preserve"> CITATION Bar14 \l 9226 </w:instrText>
          </w:r>
          <w:r w:rsidRPr="00FC5B6A">
            <w:rPr>
              <w:rFonts w:cstheme="minorHAnsi"/>
              <w:color w:val="000000" w:themeColor="text1"/>
            </w:rPr>
            <w:fldChar w:fldCharType="separate"/>
          </w:r>
          <w:r w:rsidRPr="00FC5B6A">
            <w:rPr>
              <w:rFonts w:cstheme="minorHAnsi"/>
              <w:noProof/>
              <w:color w:val="000000" w:themeColor="text1"/>
            </w:rPr>
            <w:t>(Barral, 2014)</w:t>
          </w:r>
          <w:r w:rsidRPr="00FC5B6A">
            <w:rPr>
              <w:rFonts w:cstheme="minorHAnsi"/>
              <w:color w:val="000000" w:themeColor="text1"/>
            </w:rPr>
            <w:fldChar w:fldCharType="end"/>
          </w:r>
        </w:sdtContent>
      </w:sdt>
      <w:r w:rsidRPr="00FC5B6A">
        <w:rPr>
          <w:rFonts w:cstheme="minorHAnsi"/>
          <w:color w:val="000000" w:themeColor="text1"/>
        </w:rPr>
        <w:t xml:space="preserve">. Para esta capa se utiliza como insumo la capa de fertilidad del mapa de </w:t>
      </w:r>
      <w:proofErr w:type="spellStart"/>
      <w:r w:rsidRPr="00FC5B6A">
        <w:rPr>
          <w:rFonts w:cstheme="minorHAnsi"/>
          <w:color w:val="000000" w:themeColor="text1"/>
        </w:rPr>
        <w:t>Geopedología</w:t>
      </w:r>
      <w:proofErr w:type="spellEnd"/>
      <w:r w:rsidRPr="00FC5B6A">
        <w:rPr>
          <w:rFonts w:cstheme="minorHAnsi"/>
          <w:color w:val="000000" w:themeColor="text1"/>
        </w:rPr>
        <w:t xml:space="preserve"> de Colombia, a escala 1:100.000 del IGAC, o un mapa de capacidad de uso del suelo</w:t>
      </w:r>
      <w:r w:rsidRPr="00FC5B6A">
        <w:rPr>
          <w:rFonts w:cstheme="minorHAnsi"/>
          <w:noProof/>
          <w:color w:val="000000" w:themeColor="text1"/>
        </w:rPr>
        <w:t xml:space="preserve"> (Ministerio de Ambiente y Desarrollo Sostenible - MinAmbiente, 2013)</w:t>
      </w:r>
      <w:r w:rsidRPr="00FC5B6A">
        <w:rPr>
          <w:rFonts w:cstheme="minorHAnsi"/>
          <w:color w:val="000000" w:themeColor="text1"/>
        </w:rPr>
        <w:t>.</w:t>
      </w:r>
    </w:p>
    <w:p w14:paraId="7BB15DAC" w14:textId="603A753E" w:rsidR="0033156F" w:rsidRPr="00FC5B6A" w:rsidRDefault="0033156F" w:rsidP="000C325D">
      <w:pPr>
        <w:keepNext/>
        <w:spacing w:after="0" w:line="240" w:lineRule="auto"/>
        <w:jc w:val="both"/>
        <w:rPr>
          <w:color w:val="000000" w:themeColor="text1"/>
        </w:rPr>
      </w:pPr>
    </w:p>
    <w:p w14:paraId="5923828A" w14:textId="74E3D0C4" w:rsidR="008166C2" w:rsidRPr="00FC5B6A" w:rsidRDefault="0033156F" w:rsidP="000C325D">
      <w:pPr>
        <w:numPr>
          <w:ilvl w:val="0"/>
          <w:numId w:val="10"/>
        </w:numPr>
        <w:spacing w:after="0" w:line="240" w:lineRule="auto"/>
        <w:ind w:left="0" w:firstLine="0"/>
        <w:jc w:val="both"/>
        <w:rPr>
          <w:rFonts w:cstheme="minorHAnsi"/>
          <w:color w:val="000000" w:themeColor="text1"/>
        </w:rPr>
      </w:pPr>
      <w:bookmarkStart w:id="50" w:name="_Toc478398815"/>
      <w:bookmarkStart w:id="51" w:name="_Toc465355000"/>
      <w:r w:rsidRPr="00FC5B6A">
        <w:rPr>
          <w:rFonts w:cstheme="minorHAnsi"/>
          <w:b/>
          <w:bCs/>
          <w:caps/>
        </w:rPr>
        <w:t>Función ecosistémica de retención de sedimentos en franjas de vegetación rivereña</w:t>
      </w:r>
      <w:bookmarkEnd w:id="50"/>
      <w:bookmarkEnd w:id="51"/>
      <w:r w:rsidRPr="00FC5B6A">
        <w:rPr>
          <w:rFonts w:cstheme="minorHAnsi"/>
          <w:b/>
          <w:bCs/>
          <w:color w:val="000000" w:themeColor="text1"/>
        </w:rPr>
        <w:t>:</w:t>
      </w:r>
      <w:r w:rsidRPr="00FC5B6A">
        <w:rPr>
          <w:rFonts w:cstheme="minorHAnsi"/>
          <w:color w:val="000000" w:themeColor="text1"/>
        </w:rPr>
        <w:t xml:space="preserve"> En esta capa se calcula la capacidad de filtrado de sedimentos transportados hacia los cauces </w:t>
      </w:r>
      <w:sdt>
        <w:sdtPr>
          <w:rPr>
            <w:rFonts w:cstheme="minorHAnsi"/>
            <w:color w:val="000000" w:themeColor="text1"/>
          </w:rPr>
          <w:id w:val="-567961873"/>
          <w:citation/>
        </w:sdtPr>
        <w:sdtContent>
          <w:r w:rsidRPr="00FC5B6A">
            <w:rPr>
              <w:rFonts w:cstheme="minorHAnsi"/>
              <w:color w:val="000000" w:themeColor="text1"/>
            </w:rPr>
            <w:fldChar w:fldCharType="begin"/>
          </w:r>
          <w:r w:rsidRPr="00FC5B6A">
            <w:rPr>
              <w:rFonts w:cstheme="minorHAnsi"/>
              <w:color w:val="000000" w:themeColor="text1"/>
            </w:rPr>
            <w:instrText xml:space="preserve"> CITATION Bar14 \l 9226 </w:instrText>
          </w:r>
          <w:r w:rsidRPr="00FC5B6A">
            <w:rPr>
              <w:rFonts w:cstheme="minorHAnsi"/>
              <w:color w:val="000000" w:themeColor="text1"/>
            </w:rPr>
            <w:fldChar w:fldCharType="separate"/>
          </w:r>
          <w:r w:rsidRPr="00FC5B6A">
            <w:rPr>
              <w:rFonts w:cstheme="minorHAnsi"/>
              <w:noProof/>
              <w:color w:val="000000" w:themeColor="text1"/>
            </w:rPr>
            <w:t>(Barral, 2014)</w:t>
          </w:r>
          <w:r w:rsidRPr="00FC5B6A">
            <w:rPr>
              <w:rFonts w:cstheme="minorHAnsi"/>
              <w:color w:val="000000" w:themeColor="text1"/>
            </w:rPr>
            <w:fldChar w:fldCharType="end"/>
          </w:r>
        </w:sdtContent>
      </w:sdt>
      <w:r w:rsidRPr="00FC5B6A">
        <w:rPr>
          <w:rFonts w:cstheme="minorHAnsi"/>
          <w:color w:val="000000" w:themeColor="text1"/>
        </w:rPr>
        <w:t xml:space="preserve">.  </w:t>
      </w:r>
    </w:p>
    <w:p w14:paraId="165E3A05" w14:textId="31AFACB6" w:rsidR="00B820C8" w:rsidRPr="00FC5B6A" w:rsidRDefault="00B820C8" w:rsidP="000C325D">
      <w:pPr>
        <w:spacing w:after="0" w:line="240" w:lineRule="auto"/>
        <w:jc w:val="both"/>
        <w:rPr>
          <w:color w:val="000000" w:themeColor="text1"/>
        </w:rPr>
      </w:pPr>
    </w:p>
    <w:p w14:paraId="6E3AFC6E" w14:textId="77777777" w:rsidR="0033156F" w:rsidRPr="00FC5B6A" w:rsidRDefault="0033156F" w:rsidP="000C325D">
      <w:pPr>
        <w:pStyle w:val="Prrafodelista"/>
        <w:numPr>
          <w:ilvl w:val="0"/>
          <w:numId w:val="10"/>
        </w:numPr>
        <w:ind w:left="0" w:firstLine="0"/>
        <w:rPr>
          <w:rFonts w:cstheme="minorHAnsi"/>
          <w:bCs/>
          <w:color w:val="000000" w:themeColor="text1"/>
          <w:sz w:val="22"/>
        </w:rPr>
      </w:pPr>
      <w:bookmarkStart w:id="52" w:name="_Toc465355001"/>
      <w:bookmarkStart w:id="53" w:name="_Toc478398816"/>
      <w:r w:rsidRPr="00FC5B6A">
        <w:rPr>
          <w:rStyle w:val="SubttuloCar"/>
          <w:rFonts w:asciiTheme="minorHAnsi" w:hAnsiTheme="minorHAnsi" w:cstheme="minorHAnsi"/>
          <w:b/>
          <w:bCs/>
          <w:color w:val="000000" w:themeColor="text1"/>
          <w:sz w:val="22"/>
          <w:szCs w:val="22"/>
          <w:lang w:val="es-CO"/>
        </w:rPr>
        <w:t>Regulación hídrica (RH):</w:t>
      </w:r>
      <w:bookmarkEnd w:id="52"/>
      <w:bookmarkEnd w:id="53"/>
      <w:r w:rsidRPr="00FC5B6A">
        <w:rPr>
          <w:rFonts w:cstheme="minorHAnsi"/>
          <w:color w:val="000000" w:themeColor="text1"/>
          <w:sz w:val="22"/>
        </w:rPr>
        <w:t xml:space="preserve"> En esta capa se indica la capacidad de regulación de las fuentes de abastecimiento por su cobertura vegetal en zonas de diferentes pendientes, la presencia de cuerpos de agua, la protección por cobertura de las rondas hídricas y la acumulación de flujo de las precipitaciones. </w:t>
      </w:r>
    </w:p>
    <w:p w14:paraId="677F16E1" w14:textId="564A1D3D" w:rsidR="00B820C8" w:rsidRPr="00FC5B6A" w:rsidRDefault="00B820C8" w:rsidP="000C325D">
      <w:pPr>
        <w:spacing w:after="0" w:line="240" w:lineRule="auto"/>
        <w:rPr>
          <w:rStyle w:val="SubttuloCar"/>
          <w:rFonts w:asciiTheme="minorHAnsi" w:hAnsiTheme="minorHAnsi" w:cstheme="minorBidi"/>
          <w:noProof/>
          <w:color w:val="000000" w:themeColor="text1"/>
          <w:sz w:val="22"/>
          <w:szCs w:val="22"/>
          <w:lang w:val="es-CO"/>
        </w:rPr>
      </w:pPr>
    </w:p>
    <w:p w14:paraId="2D5C6A07" w14:textId="77777777" w:rsidR="0033156F" w:rsidRDefault="0033156F" w:rsidP="000C325D">
      <w:pPr>
        <w:spacing w:after="0" w:line="240" w:lineRule="auto"/>
        <w:jc w:val="both"/>
        <w:rPr>
          <w:rFonts w:cstheme="minorHAnsi"/>
          <w:color w:val="000000" w:themeColor="text1"/>
        </w:rPr>
      </w:pPr>
      <w:bookmarkStart w:id="54" w:name="_Toc482225346"/>
      <w:bookmarkStart w:id="55" w:name="_Toc478398817"/>
      <w:r w:rsidRPr="00FC5B6A">
        <w:rPr>
          <w:rFonts w:cstheme="minorHAnsi"/>
          <w:color w:val="000000" w:themeColor="text1"/>
        </w:rPr>
        <w:t xml:space="preserve">Una vez la </w:t>
      </w:r>
      <w:proofErr w:type="spellStart"/>
      <w:r w:rsidRPr="00FC5B6A">
        <w:rPr>
          <w:rFonts w:cstheme="minorHAnsi"/>
          <w:color w:val="000000" w:themeColor="text1"/>
        </w:rPr>
        <w:t>espacialización</w:t>
      </w:r>
      <w:proofErr w:type="spellEnd"/>
      <w:r w:rsidRPr="00FC5B6A">
        <w:rPr>
          <w:rFonts w:cstheme="minorHAnsi"/>
          <w:color w:val="000000" w:themeColor="text1"/>
        </w:rPr>
        <w:t xml:space="preserve"> de las FF.EE, que soportan y explican la provisión de los SS.EE priorizados fue realizada, el siguiente paso de esta primera etapa de la metodología de zonificación es </w:t>
      </w:r>
      <w:proofErr w:type="gramStart"/>
      <w:r w:rsidRPr="00FC5B6A">
        <w:rPr>
          <w:rFonts w:cstheme="minorHAnsi"/>
          <w:color w:val="000000" w:themeColor="text1"/>
        </w:rPr>
        <w:t>la mapificación</w:t>
      </w:r>
      <w:proofErr w:type="gramEnd"/>
      <w:r w:rsidRPr="00FC5B6A">
        <w:rPr>
          <w:rFonts w:cstheme="minorHAnsi"/>
          <w:color w:val="000000" w:themeColor="text1"/>
        </w:rPr>
        <w:t xml:space="preserve"> de la Oferta de SS.EE, es decir, realizar los mapas de cada uno de los diez SS.EE priorizados.</w:t>
      </w:r>
      <w:bookmarkEnd w:id="54"/>
      <w:r w:rsidRPr="00FC5B6A">
        <w:rPr>
          <w:rFonts w:cstheme="minorHAnsi"/>
          <w:color w:val="000000" w:themeColor="text1"/>
        </w:rPr>
        <w:t xml:space="preserve"> </w:t>
      </w:r>
      <w:bookmarkStart w:id="56" w:name="_Toc482225347"/>
      <w:bookmarkEnd w:id="55"/>
    </w:p>
    <w:p w14:paraId="5D8E121E" w14:textId="77777777" w:rsidR="000C325D" w:rsidRPr="00FC5B6A" w:rsidRDefault="000C325D" w:rsidP="000C325D">
      <w:pPr>
        <w:spacing w:after="0" w:line="240" w:lineRule="auto"/>
        <w:jc w:val="both"/>
        <w:rPr>
          <w:rFonts w:cstheme="minorHAnsi"/>
          <w:color w:val="000000" w:themeColor="text1"/>
        </w:rPr>
      </w:pPr>
    </w:p>
    <w:p w14:paraId="4D5C4D2F" w14:textId="7FA241DA" w:rsidR="0033156F" w:rsidRPr="00FC5B6A" w:rsidRDefault="0033156F" w:rsidP="000C325D">
      <w:pPr>
        <w:spacing w:after="0" w:line="240" w:lineRule="auto"/>
        <w:jc w:val="both"/>
        <w:rPr>
          <w:rFonts w:cstheme="minorHAnsi"/>
          <w:color w:val="000000" w:themeColor="text1"/>
        </w:rPr>
      </w:pPr>
      <w:r w:rsidRPr="00FC5B6A">
        <w:rPr>
          <w:rFonts w:cstheme="minorHAnsi"/>
          <w:color w:val="000000" w:themeColor="text1"/>
        </w:rPr>
        <w:t xml:space="preserve">Así, los mapas de oferta de cada uno de los </w:t>
      </w:r>
      <w:r w:rsidRPr="00FC5B6A">
        <w:rPr>
          <w:rFonts w:cstheme="minorHAnsi"/>
          <w:b/>
          <w:bCs/>
          <w:color w:val="000000" w:themeColor="text1"/>
        </w:rPr>
        <w:t>10 SS.EE seleccionados</w:t>
      </w:r>
      <w:r w:rsidRPr="00FC5B6A">
        <w:rPr>
          <w:rFonts w:cstheme="minorHAnsi"/>
          <w:color w:val="000000" w:themeColor="text1"/>
        </w:rPr>
        <w:t>, se realizaron generando una matriz de integración de acuerdo con lo planteado en el protocolo ECOSER (Larrea et al. 2015). El equipo interdisciplinario realizó esta matriz de integración calificando cómo aporta cada uno de las Funciones Ecosistémicas a cada Servicio Ecosistémico (SE.EE), dando a cada FF.EE un porcentaje de 1 a 100, respecto a su importancia relativa en la generación de cada SS.EE (</w:t>
      </w:r>
      <w:r w:rsidR="00B820C8" w:rsidRPr="00FC5B6A">
        <w:rPr>
          <w:rFonts w:cstheme="minorHAnsi"/>
          <w:color w:val="000000" w:themeColor="text1"/>
        </w:rPr>
        <w:fldChar w:fldCharType="begin"/>
      </w:r>
      <w:r w:rsidR="00B820C8" w:rsidRPr="00FC5B6A">
        <w:rPr>
          <w:rFonts w:cstheme="minorHAnsi"/>
          <w:color w:val="000000" w:themeColor="text1"/>
        </w:rPr>
        <w:instrText xml:space="preserve"> REF _Ref167532812 \h </w:instrText>
      </w:r>
      <w:r w:rsidR="006E0C08" w:rsidRPr="00FC5B6A">
        <w:rPr>
          <w:rFonts w:cstheme="minorHAnsi"/>
          <w:color w:val="000000" w:themeColor="text1"/>
        </w:rPr>
        <w:instrText xml:space="preserve"> \* MERGEFORMAT </w:instrText>
      </w:r>
      <w:r w:rsidR="00B820C8" w:rsidRPr="00FC5B6A">
        <w:rPr>
          <w:rFonts w:cstheme="minorHAnsi"/>
          <w:color w:val="000000" w:themeColor="text1"/>
        </w:rPr>
      </w:r>
      <w:r w:rsidR="00B820C8" w:rsidRPr="00FC5B6A">
        <w:rPr>
          <w:rFonts w:cstheme="minorHAnsi"/>
          <w:color w:val="000000" w:themeColor="text1"/>
        </w:rPr>
        <w:fldChar w:fldCharType="separate"/>
      </w:r>
      <w:r w:rsidR="00E74A31" w:rsidRPr="00FC5B6A">
        <w:rPr>
          <w:rFonts w:cstheme="minorHAnsi"/>
        </w:rPr>
        <w:t xml:space="preserve">Tabla </w:t>
      </w:r>
      <w:r w:rsidR="004B1581">
        <w:rPr>
          <w:rFonts w:cstheme="minorHAnsi"/>
        </w:rPr>
        <w:t>6</w:t>
      </w:r>
      <w:r w:rsidR="00B820C8" w:rsidRPr="00FC5B6A">
        <w:rPr>
          <w:rFonts w:cstheme="minorHAnsi"/>
          <w:color w:val="000000" w:themeColor="text1"/>
        </w:rPr>
        <w:fldChar w:fldCharType="end"/>
      </w:r>
      <w:r w:rsidRPr="00FC5B6A">
        <w:rPr>
          <w:rFonts w:cstheme="minorHAnsi"/>
          <w:color w:val="000000" w:themeColor="text1"/>
        </w:rPr>
        <w:t xml:space="preserve">). La asimetría entre el número de FF.EE y de los SS.EE se explica ya que en algunos casos un solo tipo de elemento del paisaje es pieza clave para el cumplimiento de un SS.EE, a través del desarrollo de más de una FF.EE, o viceversa </w:t>
      </w:r>
      <w:r w:rsidR="00B820C8" w:rsidRPr="00FC5B6A">
        <w:rPr>
          <w:rFonts w:cstheme="minorHAnsi"/>
          <w:color w:val="000000" w:themeColor="text1"/>
        </w:rPr>
        <w:t>(</w:t>
      </w:r>
      <w:r w:rsidR="00B820C8" w:rsidRPr="00FC5B6A">
        <w:rPr>
          <w:rFonts w:cstheme="minorHAnsi"/>
          <w:color w:val="000000" w:themeColor="text1"/>
        </w:rPr>
        <w:fldChar w:fldCharType="begin"/>
      </w:r>
      <w:r w:rsidR="00B820C8" w:rsidRPr="00FC5B6A">
        <w:rPr>
          <w:rFonts w:cstheme="minorHAnsi"/>
          <w:color w:val="000000" w:themeColor="text1"/>
        </w:rPr>
        <w:instrText xml:space="preserve"> REF _Ref167532727 \h </w:instrText>
      </w:r>
      <w:r w:rsidR="006E0C08" w:rsidRPr="00FC5B6A">
        <w:rPr>
          <w:rFonts w:cstheme="minorHAnsi"/>
          <w:color w:val="000000" w:themeColor="text1"/>
        </w:rPr>
        <w:instrText xml:space="preserve"> \* MERGEFORMAT </w:instrText>
      </w:r>
      <w:r w:rsidR="00B820C8" w:rsidRPr="00FC5B6A">
        <w:rPr>
          <w:rFonts w:cstheme="minorHAnsi"/>
          <w:color w:val="000000" w:themeColor="text1"/>
        </w:rPr>
      </w:r>
      <w:r w:rsidR="00B820C8" w:rsidRPr="00FC5B6A">
        <w:rPr>
          <w:rFonts w:cstheme="minorHAnsi"/>
          <w:color w:val="000000" w:themeColor="text1"/>
        </w:rPr>
        <w:fldChar w:fldCharType="separate"/>
      </w:r>
      <w:r w:rsidR="00E74A31" w:rsidRPr="00FC5B6A">
        <w:rPr>
          <w:rFonts w:cstheme="minorHAnsi"/>
        </w:rPr>
        <w:t xml:space="preserve">Figura </w:t>
      </w:r>
      <w:r w:rsidR="00E74796">
        <w:rPr>
          <w:rFonts w:cstheme="minorHAnsi"/>
        </w:rPr>
        <w:t>5</w:t>
      </w:r>
      <w:r w:rsidR="00B820C8" w:rsidRPr="00FC5B6A">
        <w:rPr>
          <w:rFonts w:cstheme="minorHAnsi"/>
          <w:color w:val="000000" w:themeColor="text1"/>
        </w:rPr>
        <w:fldChar w:fldCharType="end"/>
      </w:r>
      <w:r w:rsidRPr="00FC5B6A">
        <w:rPr>
          <w:rFonts w:cstheme="minorHAnsi"/>
          <w:color w:val="000000" w:themeColor="text1"/>
        </w:rPr>
        <w:t xml:space="preserve">). </w:t>
      </w:r>
      <w:bookmarkEnd w:id="56"/>
    </w:p>
    <w:p w14:paraId="7E181BE8" w14:textId="6D8B8743" w:rsidR="0033156F" w:rsidRPr="00FC5B6A" w:rsidRDefault="00B820C8" w:rsidP="00B904F4">
      <w:pPr>
        <w:keepNext/>
        <w:spacing w:after="0" w:line="276" w:lineRule="auto"/>
        <w:ind w:left="360"/>
        <w:jc w:val="center"/>
        <w:rPr>
          <w:rFonts w:cstheme="minorHAnsi"/>
          <w:bCs/>
          <w:sz w:val="20"/>
          <w:szCs w:val="16"/>
        </w:rPr>
      </w:pPr>
      <w:bookmarkStart w:id="57" w:name="_Ref167532727"/>
      <w:bookmarkStart w:id="58" w:name="_Toc478482911"/>
      <w:bookmarkStart w:id="59" w:name="_Toc170133229"/>
      <w:r w:rsidRPr="00FC5B6A">
        <w:rPr>
          <w:rFonts w:cstheme="minorHAnsi"/>
          <w:bCs/>
          <w:sz w:val="20"/>
          <w:szCs w:val="16"/>
        </w:rPr>
        <w:lastRenderedPageBreak/>
        <w:t xml:space="preserve">Figura  </w:t>
      </w:r>
      <w:r w:rsidRPr="00FC5B6A">
        <w:rPr>
          <w:rFonts w:cstheme="minorHAnsi"/>
          <w:bCs/>
          <w:sz w:val="20"/>
          <w:szCs w:val="16"/>
        </w:rPr>
        <w:fldChar w:fldCharType="begin"/>
      </w:r>
      <w:r w:rsidRPr="00FC5B6A">
        <w:rPr>
          <w:rFonts w:cstheme="minorHAnsi"/>
          <w:bCs/>
          <w:sz w:val="20"/>
          <w:szCs w:val="16"/>
        </w:rPr>
        <w:instrText xml:space="preserve"> SEQ Figura_ \* ARABIC </w:instrText>
      </w:r>
      <w:r w:rsidRPr="00FC5B6A">
        <w:rPr>
          <w:rFonts w:cstheme="minorHAnsi"/>
          <w:bCs/>
          <w:sz w:val="20"/>
          <w:szCs w:val="16"/>
        </w:rPr>
        <w:fldChar w:fldCharType="separate"/>
      </w:r>
      <w:r w:rsidR="00E74796">
        <w:rPr>
          <w:rFonts w:cstheme="minorHAnsi"/>
          <w:bCs/>
          <w:noProof/>
          <w:sz w:val="20"/>
          <w:szCs w:val="16"/>
        </w:rPr>
        <w:t>5</w:t>
      </w:r>
      <w:r w:rsidRPr="00FC5B6A">
        <w:rPr>
          <w:rFonts w:cstheme="minorHAnsi"/>
          <w:bCs/>
          <w:sz w:val="20"/>
          <w:szCs w:val="16"/>
        </w:rPr>
        <w:fldChar w:fldCharType="end"/>
      </w:r>
      <w:bookmarkEnd w:id="57"/>
      <w:r w:rsidR="0033156F" w:rsidRPr="00FC5B6A">
        <w:rPr>
          <w:rFonts w:cstheme="minorHAnsi"/>
          <w:bCs/>
          <w:sz w:val="20"/>
          <w:szCs w:val="16"/>
        </w:rPr>
        <w:t>. Metodología para obtener los mapas de servicios ecosistémicos.</w:t>
      </w:r>
      <w:bookmarkEnd w:id="58"/>
      <w:bookmarkEnd w:id="59"/>
    </w:p>
    <w:p w14:paraId="148EDC29" w14:textId="029294E6" w:rsidR="0033156F" w:rsidRPr="00FC5B6A" w:rsidRDefault="00B820C8" w:rsidP="00B820C8">
      <w:pPr>
        <w:keepNext/>
        <w:rPr>
          <w:rFonts w:cstheme="minorHAnsi"/>
          <w:color w:val="000000" w:themeColor="text1"/>
        </w:rPr>
      </w:pPr>
      <w:r w:rsidRPr="00FC5B6A">
        <w:rPr>
          <w:rFonts w:cstheme="minorHAnsi"/>
          <w:noProof/>
          <w:color w:val="000000" w:themeColor="text1"/>
          <w:lang w:eastAsia="es-CO"/>
        </w:rPr>
        <w:drawing>
          <wp:inline distT="0" distB="0" distL="0" distR="0" wp14:anchorId="4C66F553" wp14:editId="080E6A17">
            <wp:extent cx="5612130" cy="2918460"/>
            <wp:effectExtent l="0" t="0" r="762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email">
                      <a:extLst>
                        <a:ext uri="{28A0092B-C50C-407E-A947-70E740481C1C}">
                          <a14:useLocalDpi xmlns:a14="http://schemas.microsoft.com/office/drawing/2010/main"/>
                        </a:ext>
                      </a:extLst>
                    </a:blip>
                    <a:stretch>
                      <a:fillRect/>
                    </a:stretch>
                  </pic:blipFill>
                  <pic:spPr>
                    <a:xfrm>
                      <a:off x="0" y="0"/>
                      <a:ext cx="5612130" cy="2918460"/>
                    </a:xfrm>
                    <a:prstGeom prst="rect">
                      <a:avLst/>
                    </a:prstGeom>
                  </pic:spPr>
                </pic:pic>
              </a:graphicData>
            </a:graphic>
          </wp:inline>
        </w:drawing>
      </w:r>
    </w:p>
    <w:p w14:paraId="17369D54" w14:textId="77777777" w:rsidR="00B820C8" w:rsidRPr="00FC5B6A" w:rsidRDefault="00B820C8" w:rsidP="0033156F">
      <w:pPr>
        <w:rPr>
          <w:rFonts w:cstheme="minorHAnsi"/>
          <w:color w:val="000000" w:themeColor="text1"/>
        </w:rPr>
      </w:pPr>
    </w:p>
    <w:p w14:paraId="47A0C32C" w14:textId="30147FAA" w:rsidR="0033156F" w:rsidRPr="004B1581" w:rsidRDefault="00B820C8" w:rsidP="004B1581">
      <w:pPr>
        <w:pStyle w:val="FIGYTAB"/>
      </w:pPr>
      <w:bookmarkStart w:id="60" w:name="_Ref167532812"/>
      <w:bookmarkStart w:id="61" w:name="_Toc478482918"/>
      <w:bookmarkStart w:id="62" w:name="_Toc170124918"/>
      <w:r w:rsidRPr="004B1581">
        <w:t xml:space="preserve">Tabla </w:t>
      </w:r>
      <w:r>
        <w:fldChar w:fldCharType="begin"/>
      </w:r>
      <w:r>
        <w:instrText>SEQ Tabla \* ARABIC</w:instrText>
      </w:r>
      <w:r>
        <w:fldChar w:fldCharType="separate"/>
      </w:r>
      <w:r w:rsidR="00F65552" w:rsidRPr="004B1581">
        <w:t>6</w:t>
      </w:r>
      <w:r>
        <w:fldChar w:fldCharType="end"/>
      </w:r>
      <w:bookmarkEnd w:id="60"/>
      <w:r w:rsidRPr="004B1581">
        <w:t>.</w:t>
      </w:r>
      <w:r w:rsidR="0033156F" w:rsidRPr="004B1581">
        <w:t>Matriz de integración de Funciones Ecosistémicas. Funciones Ecosistémicas calificadas para obtener mapas de Servicios Ecosistémicos</w:t>
      </w:r>
      <w:bookmarkEnd w:id="61"/>
      <w:bookmarkEnd w:id="62"/>
    </w:p>
    <w:p w14:paraId="7D6C4440" w14:textId="77777777" w:rsidR="0033156F" w:rsidRPr="00FC5B6A" w:rsidRDefault="0033156F" w:rsidP="0033156F">
      <w:pPr>
        <w:spacing w:after="0" w:line="276" w:lineRule="auto"/>
        <w:jc w:val="both"/>
        <w:rPr>
          <w:rFonts w:eastAsiaTheme="majorEastAsia" w:cstheme="minorHAnsi"/>
          <w:noProof/>
          <w:color w:val="000000" w:themeColor="text1"/>
        </w:rPr>
      </w:pPr>
      <w:r w:rsidRPr="00FC5B6A">
        <w:rPr>
          <w:rFonts w:cstheme="minorHAnsi"/>
          <w:noProof/>
          <w:color w:val="000000" w:themeColor="text1"/>
          <w:lang w:eastAsia="es-CO"/>
        </w:rPr>
        <w:drawing>
          <wp:inline distT="0" distB="0" distL="0" distR="0" wp14:anchorId="5BC8B493" wp14:editId="3DC46337">
            <wp:extent cx="5612130" cy="3289935"/>
            <wp:effectExtent l="0" t="0" r="762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12130" cy="3289935"/>
                    </a:xfrm>
                    <a:prstGeom prst="rect">
                      <a:avLst/>
                    </a:prstGeom>
                  </pic:spPr>
                </pic:pic>
              </a:graphicData>
            </a:graphic>
          </wp:inline>
        </w:drawing>
      </w:r>
    </w:p>
    <w:p w14:paraId="3D834037" w14:textId="77777777" w:rsidR="0033156F" w:rsidRPr="00FC5B6A" w:rsidRDefault="0033156F" w:rsidP="0033156F">
      <w:pPr>
        <w:spacing w:after="0" w:line="276" w:lineRule="auto"/>
        <w:jc w:val="both"/>
        <w:rPr>
          <w:rFonts w:eastAsiaTheme="majorEastAsia" w:cstheme="minorHAnsi"/>
          <w:noProof/>
          <w:color w:val="000000" w:themeColor="text1"/>
        </w:rPr>
      </w:pPr>
    </w:p>
    <w:p w14:paraId="51A62688" w14:textId="77777777" w:rsidR="0049212F" w:rsidRPr="00FC5B6A" w:rsidRDefault="0049212F" w:rsidP="00DD1BA5">
      <w:pPr>
        <w:spacing w:after="0" w:line="276" w:lineRule="auto"/>
        <w:jc w:val="both"/>
        <w:rPr>
          <w:rFonts w:eastAsiaTheme="majorEastAsia" w:cstheme="minorHAnsi"/>
          <w:noProof/>
          <w:color w:val="000000" w:themeColor="text1"/>
        </w:rPr>
      </w:pPr>
    </w:p>
    <w:p w14:paraId="2C204CC2" w14:textId="77777777" w:rsidR="006D4B2A" w:rsidRPr="00FC5B6A" w:rsidRDefault="006D4B2A" w:rsidP="00DD1BA5">
      <w:pPr>
        <w:spacing w:after="0" w:line="276" w:lineRule="auto"/>
        <w:jc w:val="both"/>
        <w:rPr>
          <w:rFonts w:eastAsiaTheme="majorEastAsia" w:cstheme="minorHAnsi"/>
          <w:noProof/>
          <w:color w:val="000000" w:themeColor="text1"/>
        </w:rPr>
      </w:pPr>
    </w:p>
    <w:p w14:paraId="7FEACDD0" w14:textId="00294902" w:rsidR="00DD1BA5" w:rsidRPr="00FC5B6A" w:rsidRDefault="00DD1BA5" w:rsidP="000C325D">
      <w:pPr>
        <w:spacing w:after="0" w:line="240" w:lineRule="auto"/>
        <w:jc w:val="both"/>
        <w:rPr>
          <w:rFonts w:eastAsiaTheme="majorEastAsia" w:cstheme="minorHAnsi"/>
          <w:noProof/>
          <w:color w:val="000000" w:themeColor="text1"/>
        </w:rPr>
      </w:pPr>
      <w:r w:rsidRPr="00FC5B6A">
        <w:rPr>
          <w:rFonts w:eastAsiaTheme="majorEastAsia" w:cstheme="minorHAnsi"/>
          <w:noProof/>
          <w:color w:val="000000" w:themeColor="text1"/>
        </w:rPr>
        <w:lastRenderedPageBreak/>
        <w:t>Posteriormente, a cada uno de los SS.EE se le ot</w:t>
      </w:r>
      <w:r w:rsidR="00994B7F" w:rsidRPr="00FC5B6A">
        <w:rPr>
          <w:rFonts w:eastAsiaTheme="majorEastAsia" w:cstheme="minorHAnsi"/>
          <w:noProof/>
          <w:color w:val="000000" w:themeColor="text1"/>
        </w:rPr>
        <w:t>o</w:t>
      </w:r>
      <w:r w:rsidRPr="00FC5B6A">
        <w:rPr>
          <w:rFonts w:eastAsiaTheme="majorEastAsia" w:cstheme="minorHAnsi"/>
          <w:noProof/>
          <w:color w:val="000000" w:themeColor="text1"/>
        </w:rPr>
        <w:t>rgó un peso relativo dentro de cada una de las subregiones</w:t>
      </w:r>
      <w:r w:rsidR="006D4B2A" w:rsidRPr="00FC5B6A">
        <w:rPr>
          <w:rFonts w:eastAsiaTheme="majorEastAsia" w:cstheme="minorHAnsi"/>
          <w:noProof/>
          <w:color w:val="000000" w:themeColor="text1"/>
        </w:rPr>
        <w:t xml:space="preserve"> supremunicipales</w:t>
      </w:r>
      <w:r w:rsidRPr="00FC5B6A">
        <w:rPr>
          <w:rFonts w:eastAsiaTheme="majorEastAsia" w:cstheme="minorHAnsi"/>
          <w:noProof/>
          <w:color w:val="000000" w:themeColor="text1"/>
        </w:rPr>
        <w:t>, de acuerdo con su importancia para el bienestar humano local. Es decir, cada uno de los SS.EE tuvo un peso diferente en cada una de las Subregiones</w:t>
      </w:r>
      <w:r w:rsidR="002754D8" w:rsidRPr="00FC5B6A">
        <w:rPr>
          <w:rFonts w:eastAsiaTheme="majorEastAsia" w:cstheme="minorHAnsi"/>
          <w:noProof/>
          <w:color w:val="000000" w:themeColor="text1"/>
        </w:rPr>
        <w:t xml:space="preserve"> supramunicipal</w:t>
      </w:r>
      <w:r w:rsidR="009865B6" w:rsidRPr="00FC5B6A">
        <w:rPr>
          <w:rFonts w:eastAsiaTheme="majorEastAsia" w:cstheme="minorHAnsi"/>
          <w:noProof/>
          <w:color w:val="000000" w:themeColor="text1"/>
        </w:rPr>
        <w:t xml:space="preserve">, </w:t>
      </w:r>
      <w:r w:rsidRPr="00FC5B6A">
        <w:rPr>
          <w:rFonts w:eastAsiaTheme="majorEastAsia" w:cstheme="minorHAnsi"/>
          <w:noProof/>
          <w:color w:val="000000" w:themeColor="text1"/>
        </w:rPr>
        <w:t xml:space="preserve">ya que las caractrísticas biofísicas de cada área son distintas (Tabla </w:t>
      </w:r>
      <w:r w:rsidR="00C07628" w:rsidRPr="00FC5B6A">
        <w:rPr>
          <w:rFonts w:eastAsiaTheme="majorEastAsia" w:cstheme="minorHAnsi"/>
          <w:noProof/>
          <w:color w:val="000000" w:themeColor="text1"/>
        </w:rPr>
        <w:t>4</w:t>
      </w:r>
      <w:r w:rsidRPr="00FC5B6A">
        <w:rPr>
          <w:rFonts w:eastAsiaTheme="majorEastAsia" w:cstheme="minorHAnsi"/>
          <w:noProof/>
          <w:color w:val="000000" w:themeColor="text1"/>
        </w:rPr>
        <w:t>). Esta categorización otorgando pesos a los diferentes SS.EE, permite que no sea simplemente el número de SS.EE lo que defina la importancia relativa de un área dentro de un municipio, sino que por el contrario, sea la relevancia real de cada servicio para las personas que habitan o habitarán dicho terrtorio, la que marque la diferencia a la hora de definir las áreas con alto valor por prestación de SS.EE. Los pesos otorgados a cada servicio en cada subregión</w:t>
      </w:r>
      <w:r w:rsidR="00C07628" w:rsidRPr="00FC5B6A">
        <w:rPr>
          <w:rFonts w:eastAsiaTheme="majorEastAsia" w:cstheme="minorHAnsi"/>
          <w:noProof/>
          <w:color w:val="000000" w:themeColor="text1"/>
        </w:rPr>
        <w:t xml:space="preserve"> supramunicipal</w:t>
      </w:r>
      <w:r w:rsidRPr="00FC5B6A">
        <w:rPr>
          <w:rFonts w:eastAsiaTheme="majorEastAsia" w:cstheme="minorHAnsi"/>
          <w:noProof/>
          <w:color w:val="000000" w:themeColor="text1"/>
        </w:rPr>
        <w:t xml:space="preserve"> fueron diferentes, pues la oferta y relevancia local de cada SS.EE será diferente en diferentes contextos territoriales (</w:t>
      </w:r>
      <w:r w:rsidR="00B820C8" w:rsidRPr="00FC5B6A">
        <w:rPr>
          <w:rFonts w:eastAsiaTheme="majorEastAsia" w:cstheme="minorHAnsi"/>
          <w:noProof/>
          <w:color w:val="000000" w:themeColor="text1"/>
        </w:rPr>
        <w:fldChar w:fldCharType="begin"/>
      </w:r>
      <w:r w:rsidR="00B820C8" w:rsidRPr="00FC5B6A">
        <w:rPr>
          <w:rFonts w:eastAsiaTheme="majorEastAsia" w:cstheme="minorHAnsi"/>
          <w:noProof/>
          <w:color w:val="000000" w:themeColor="text1"/>
        </w:rPr>
        <w:instrText xml:space="preserve"> REF _Ref167532790 \h </w:instrText>
      </w:r>
      <w:r w:rsidR="006E0C08" w:rsidRPr="00FC5B6A">
        <w:rPr>
          <w:rFonts w:eastAsiaTheme="majorEastAsia" w:cstheme="minorHAnsi"/>
          <w:noProof/>
          <w:color w:val="000000" w:themeColor="text1"/>
        </w:rPr>
        <w:instrText xml:space="preserve"> \* MERGEFORMAT </w:instrText>
      </w:r>
      <w:r w:rsidR="00B820C8" w:rsidRPr="00FC5B6A">
        <w:rPr>
          <w:rFonts w:eastAsiaTheme="majorEastAsia" w:cstheme="minorHAnsi"/>
          <w:noProof/>
          <w:color w:val="000000" w:themeColor="text1"/>
        </w:rPr>
      </w:r>
      <w:r w:rsidR="00B820C8" w:rsidRPr="00FC5B6A">
        <w:rPr>
          <w:rFonts w:eastAsiaTheme="majorEastAsia" w:cstheme="minorHAnsi"/>
          <w:noProof/>
          <w:color w:val="000000" w:themeColor="text1"/>
        </w:rPr>
        <w:fldChar w:fldCharType="separate"/>
      </w:r>
      <w:r w:rsidR="00E74A31" w:rsidRPr="00FC5B6A">
        <w:rPr>
          <w:rFonts w:cstheme="minorHAnsi"/>
        </w:rPr>
        <w:t xml:space="preserve">Tabla </w:t>
      </w:r>
      <w:r w:rsidR="00F65552">
        <w:rPr>
          <w:rFonts w:cstheme="minorHAnsi"/>
        </w:rPr>
        <w:t>7</w:t>
      </w:r>
      <w:r w:rsidR="00B820C8" w:rsidRPr="00FC5B6A">
        <w:rPr>
          <w:rFonts w:eastAsiaTheme="majorEastAsia" w:cstheme="minorHAnsi"/>
          <w:noProof/>
          <w:color w:val="000000" w:themeColor="text1"/>
        </w:rPr>
        <w:fldChar w:fldCharType="end"/>
      </w:r>
      <w:r w:rsidRPr="00FC5B6A">
        <w:rPr>
          <w:rFonts w:eastAsiaTheme="majorEastAsia" w:cstheme="minorHAnsi"/>
          <w:noProof/>
          <w:color w:val="000000" w:themeColor="text1"/>
        </w:rPr>
        <w:t>).</w:t>
      </w:r>
    </w:p>
    <w:p w14:paraId="771A899F" w14:textId="77777777" w:rsidR="00DD1BA5" w:rsidRPr="00FC5B6A" w:rsidRDefault="00DD1BA5" w:rsidP="00DD1BA5">
      <w:pPr>
        <w:spacing w:after="0" w:line="276" w:lineRule="auto"/>
        <w:jc w:val="both"/>
        <w:rPr>
          <w:rFonts w:eastAsiaTheme="majorEastAsia" w:cstheme="minorHAnsi"/>
          <w:noProof/>
          <w:color w:val="000000" w:themeColor="text1"/>
        </w:rPr>
      </w:pPr>
    </w:p>
    <w:p w14:paraId="501E7FF0" w14:textId="44632DA4" w:rsidR="00DD1BA5" w:rsidRPr="000C325D" w:rsidRDefault="00B820C8" w:rsidP="000C325D">
      <w:pPr>
        <w:pStyle w:val="FIGYTAB"/>
      </w:pPr>
      <w:bookmarkStart w:id="63" w:name="_Ref167532790"/>
      <w:bookmarkStart w:id="64" w:name="_Toc478482919"/>
      <w:bookmarkStart w:id="65" w:name="_Toc170124919"/>
      <w:r w:rsidRPr="000C325D">
        <w:t xml:space="preserve">Tabla </w:t>
      </w:r>
      <w:r>
        <w:fldChar w:fldCharType="begin"/>
      </w:r>
      <w:r>
        <w:instrText>SEQ Tabla \* ARABIC</w:instrText>
      </w:r>
      <w:r>
        <w:fldChar w:fldCharType="separate"/>
      </w:r>
      <w:r w:rsidR="00F65552" w:rsidRPr="000C325D">
        <w:t>7</w:t>
      </w:r>
      <w:r>
        <w:fldChar w:fldCharType="end"/>
      </w:r>
      <w:bookmarkEnd w:id="63"/>
      <w:r w:rsidR="00DD1BA5" w:rsidRPr="000C325D">
        <w:t>. Servicios Ecosistémicos priorizados y los pesos sugeridos respecto a su relevancia para el bienestar humano local.</w:t>
      </w:r>
      <w:bookmarkEnd w:id="64"/>
      <w:bookmarkEnd w:id="65"/>
    </w:p>
    <w:p w14:paraId="70910EA8" w14:textId="7CC597C0" w:rsidR="1A24BF23" w:rsidRPr="00FC5B6A" w:rsidRDefault="1A24BF23" w:rsidP="1A24BF23">
      <w:pPr>
        <w:keepNext/>
        <w:spacing w:after="0" w:line="276" w:lineRule="auto"/>
        <w:ind w:left="360"/>
        <w:jc w:val="center"/>
        <w:rPr>
          <w:sz w:val="20"/>
          <w:szCs w:val="20"/>
        </w:rPr>
      </w:pPr>
    </w:p>
    <w:tbl>
      <w:tblPr>
        <w:tblW w:w="0" w:type="auto"/>
        <w:tblLayout w:type="fixed"/>
        <w:tblLook w:val="06A0" w:firstRow="1" w:lastRow="0" w:firstColumn="1" w:lastColumn="0" w:noHBand="1" w:noVBand="1"/>
      </w:tblPr>
      <w:tblGrid>
        <w:gridCol w:w="942"/>
        <w:gridCol w:w="703"/>
        <w:gridCol w:w="706"/>
        <w:gridCol w:w="725"/>
        <w:gridCol w:w="720"/>
        <w:gridCol w:w="712"/>
        <w:gridCol w:w="701"/>
        <w:gridCol w:w="729"/>
        <w:gridCol w:w="752"/>
        <w:gridCol w:w="709"/>
        <w:gridCol w:w="709"/>
        <w:gridCol w:w="727"/>
      </w:tblGrid>
      <w:tr w:rsidR="1A24BF23" w:rsidRPr="00FC5B6A" w14:paraId="550DD793" w14:textId="77777777" w:rsidTr="1A24BF23">
        <w:trPr>
          <w:trHeight w:val="1020"/>
        </w:trPr>
        <w:tc>
          <w:tcPr>
            <w:tcW w:w="1645" w:type="dxa"/>
            <w:gridSpan w:val="2"/>
            <w:tcBorders>
              <w:top w:val="single" w:sz="4" w:space="0" w:color="000000" w:themeColor="text1"/>
              <w:left w:val="single" w:sz="4" w:space="0" w:color="000000" w:themeColor="text1"/>
              <w:bottom w:val="nil"/>
              <w:right w:val="single" w:sz="8" w:space="0" w:color="5B9BD5" w:themeColor="accent5"/>
            </w:tcBorders>
            <w:shd w:val="clear" w:color="auto" w:fill="4472C4" w:themeFill="accent1"/>
            <w:tcMar>
              <w:top w:w="15" w:type="dxa"/>
              <w:left w:w="15" w:type="dxa"/>
              <w:right w:w="15" w:type="dxa"/>
            </w:tcMar>
            <w:vAlign w:val="center"/>
          </w:tcPr>
          <w:p w14:paraId="6560EFD7" w14:textId="04AFE0C3" w:rsidR="1A24BF23" w:rsidRPr="00FC5B6A" w:rsidRDefault="1A24BF23" w:rsidP="1A24BF23">
            <w:pPr>
              <w:spacing w:after="0"/>
              <w:jc w:val="center"/>
            </w:pPr>
            <w:r w:rsidRPr="00FC5B6A">
              <w:rPr>
                <w:rFonts w:ascii="Arial" w:eastAsia="Arial" w:hAnsi="Arial" w:cs="Arial"/>
                <w:b/>
                <w:bCs/>
                <w:color w:val="FFFFFF" w:themeColor="background1"/>
                <w:sz w:val="16"/>
                <w:szCs w:val="16"/>
              </w:rPr>
              <w:t xml:space="preserve">Servicio Ecosistémico </w:t>
            </w:r>
          </w:p>
        </w:tc>
        <w:tc>
          <w:tcPr>
            <w:tcW w:w="706" w:type="dxa"/>
            <w:tcBorders>
              <w:top w:val="single" w:sz="8" w:space="0" w:color="5B9BD5" w:themeColor="accent5"/>
              <w:left w:val="single" w:sz="4" w:space="0" w:color="000000" w:themeColor="text1"/>
              <w:bottom w:val="single" w:sz="8" w:space="0" w:color="8EAADB" w:themeColor="accent1" w:themeTint="99"/>
              <w:right w:val="single" w:sz="8" w:space="0" w:color="8EAADB" w:themeColor="accent1" w:themeTint="99"/>
            </w:tcBorders>
            <w:shd w:val="clear" w:color="auto" w:fill="D9E2F3" w:themeFill="accent1" w:themeFillTint="33"/>
            <w:tcMar>
              <w:top w:w="15" w:type="dxa"/>
              <w:left w:w="15" w:type="dxa"/>
              <w:right w:w="15" w:type="dxa"/>
            </w:tcMar>
            <w:vAlign w:val="center"/>
          </w:tcPr>
          <w:p w14:paraId="3C0DC601" w14:textId="186E7551" w:rsidR="1A24BF23" w:rsidRPr="00FC5B6A" w:rsidRDefault="1A24BF23" w:rsidP="1A24BF23">
            <w:pPr>
              <w:spacing w:after="0"/>
            </w:pPr>
            <w:r w:rsidRPr="00FC5B6A">
              <w:rPr>
                <w:rFonts w:ascii="Arial" w:eastAsia="Arial" w:hAnsi="Arial" w:cs="Arial"/>
                <w:b/>
                <w:bCs/>
                <w:sz w:val="16"/>
                <w:szCs w:val="16"/>
              </w:rPr>
              <w:t xml:space="preserve">Oferta de agua superficial </w:t>
            </w:r>
          </w:p>
        </w:tc>
        <w:tc>
          <w:tcPr>
            <w:tcW w:w="725" w:type="dxa"/>
            <w:tcBorders>
              <w:top w:val="single" w:sz="8" w:space="0" w:color="8EAADB" w:themeColor="accent1" w:themeTint="99"/>
              <w:left w:val="single" w:sz="4" w:space="0" w:color="000000" w:themeColor="text1"/>
              <w:bottom w:val="single" w:sz="8" w:space="0" w:color="8EAADB" w:themeColor="accent1" w:themeTint="99"/>
              <w:right w:val="single" w:sz="8" w:space="0" w:color="8EAADB" w:themeColor="accent1" w:themeTint="99"/>
            </w:tcBorders>
            <w:tcMar>
              <w:top w:w="15" w:type="dxa"/>
              <w:left w:w="15" w:type="dxa"/>
              <w:right w:w="15" w:type="dxa"/>
            </w:tcMar>
            <w:vAlign w:val="center"/>
          </w:tcPr>
          <w:p w14:paraId="0F3D4F74" w14:textId="6A63CF17" w:rsidR="1A24BF23" w:rsidRPr="00FC5B6A" w:rsidRDefault="1A24BF23" w:rsidP="1A24BF23">
            <w:pPr>
              <w:spacing w:after="0"/>
            </w:pPr>
            <w:r w:rsidRPr="00FC5B6A">
              <w:rPr>
                <w:rFonts w:ascii="Arial" w:eastAsia="Arial" w:hAnsi="Arial" w:cs="Arial"/>
                <w:b/>
                <w:bCs/>
                <w:sz w:val="16"/>
                <w:szCs w:val="16"/>
              </w:rPr>
              <w:t xml:space="preserve">Oferta de agua subterránea </w:t>
            </w:r>
          </w:p>
        </w:tc>
        <w:tc>
          <w:tcPr>
            <w:tcW w:w="720" w:type="dxa"/>
            <w:tcBorders>
              <w:top w:val="single" w:sz="8" w:space="0" w:color="8EAADB" w:themeColor="accent1" w:themeTint="99"/>
              <w:left w:val="single" w:sz="4" w:space="0" w:color="000000" w:themeColor="text1"/>
              <w:bottom w:val="single" w:sz="8" w:space="0" w:color="8EAADB" w:themeColor="accent1" w:themeTint="99"/>
              <w:right w:val="single" w:sz="8" w:space="0" w:color="8EAADB" w:themeColor="accent1" w:themeTint="99"/>
            </w:tcBorders>
            <w:shd w:val="clear" w:color="auto" w:fill="D9E2F3" w:themeFill="accent1" w:themeFillTint="33"/>
            <w:tcMar>
              <w:top w:w="15" w:type="dxa"/>
              <w:left w:w="15" w:type="dxa"/>
              <w:right w:w="15" w:type="dxa"/>
            </w:tcMar>
            <w:vAlign w:val="center"/>
          </w:tcPr>
          <w:p w14:paraId="4599D17B" w14:textId="45E94E39" w:rsidR="1A24BF23" w:rsidRPr="00FC5B6A" w:rsidRDefault="1A24BF23" w:rsidP="1A24BF23">
            <w:pPr>
              <w:spacing w:after="0"/>
            </w:pPr>
            <w:r w:rsidRPr="00FC5B6A">
              <w:rPr>
                <w:rFonts w:ascii="Arial" w:eastAsia="Arial" w:hAnsi="Arial" w:cs="Arial"/>
                <w:b/>
                <w:bCs/>
                <w:sz w:val="16"/>
                <w:szCs w:val="16"/>
              </w:rPr>
              <w:t xml:space="preserve">Producción de recursos maderables </w:t>
            </w:r>
          </w:p>
        </w:tc>
        <w:tc>
          <w:tcPr>
            <w:tcW w:w="712" w:type="dxa"/>
            <w:tcBorders>
              <w:top w:val="single" w:sz="8" w:space="0" w:color="8EAADB" w:themeColor="accent1" w:themeTint="99"/>
              <w:left w:val="single" w:sz="4" w:space="0" w:color="000000" w:themeColor="text1"/>
              <w:bottom w:val="single" w:sz="8" w:space="0" w:color="8EAADB" w:themeColor="accent1" w:themeTint="99"/>
              <w:right w:val="single" w:sz="8" w:space="0" w:color="8EAADB" w:themeColor="accent1" w:themeTint="99"/>
            </w:tcBorders>
            <w:tcMar>
              <w:top w:w="15" w:type="dxa"/>
              <w:left w:w="15" w:type="dxa"/>
              <w:right w:w="15" w:type="dxa"/>
            </w:tcMar>
            <w:vAlign w:val="center"/>
          </w:tcPr>
          <w:p w14:paraId="35698628" w14:textId="77725D71" w:rsidR="1A24BF23" w:rsidRPr="00FC5B6A" w:rsidRDefault="1A24BF23" w:rsidP="1A24BF23">
            <w:pPr>
              <w:spacing w:after="0"/>
            </w:pPr>
            <w:r w:rsidRPr="00FC5B6A">
              <w:rPr>
                <w:rFonts w:ascii="Arial" w:eastAsia="Arial" w:hAnsi="Arial" w:cs="Arial"/>
                <w:b/>
                <w:bCs/>
                <w:sz w:val="16"/>
                <w:szCs w:val="16"/>
              </w:rPr>
              <w:t xml:space="preserve">Producción potencial de cultivos </w:t>
            </w:r>
          </w:p>
        </w:tc>
        <w:tc>
          <w:tcPr>
            <w:tcW w:w="701" w:type="dxa"/>
            <w:tcBorders>
              <w:top w:val="single" w:sz="8" w:space="0" w:color="8EAADB" w:themeColor="accent1" w:themeTint="99"/>
              <w:left w:val="single" w:sz="4" w:space="0" w:color="000000" w:themeColor="text1"/>
              <w:bottom w:val="single" w:sz="8" w:space="0" w:color="8EAADB" w:themeColor="accent1" w:themeTint="99"/>
              <w:right w:val="single" w:sz="8" w:space="0" w:color="8EAADB" w:themeColor="accent1" w:themeTint="99"/>
            </w:tcBorders>
            <w:shd w:val="clear" w:color="auto" w:fill="D9E2F3" w:themeFill="accent1" w:themeFillTint="33"/>
            <w:tcMar>
              <w:top w:w="15" w:type="dxa"/>
              <w:left w:w="15" w:type="dxa"/>
              <w:right w:w="15" w:type="dxa"/>
            </w:tcMar>
            <w:vAlign w:val="center"/>
          </w:tcPr>
          <w:p w14:paraId="614B2E64" w14:textId="30E0B690" w:rsidR="1A24BF23" w:rsidRPr="00FC5B6A" w:rsidRDefault="1A24BF23" w:rsidP="1A24BF23">
            <w:pPr>
              <w:spacing w:after="0"/>
            </w:pPr>
            <w:r w:rsidRPr="00FC5B6A">
              <w:rPr>
                <w:rFonts w:ascii="Arial" w:eastAsia="Arial" w:hAnsi="Arial" w:cs="Arial"/>
                <w:b/>
                <w:bCs/>
                <w:sz w:val="16"/>
                <w:szCs w:val="16"/>
              </w:rPr>
              <w:t xml:space="preserve">Retención y regulación hídrica </w:t>
            </w:r>
          </w:p>
        </w:tc>
        <w:tc>
          <w:tcPr>
            <w:tcW w:w="729" w:type="dxa"/>
            <w:tcBorders>
              <w:top w:val="single" w:sz="8" w:space="0" w:color="8EAADB" w:themeColor="accent1" w:themeTint="99"/>
              <w:left w:val="single" w:sz="4" w:space="0" w:color="000000" w:themeColor="text1"/>
              <w:bottom w:val="single" w:sz="8" w:space="0" w:color="8EAADB" w:themeColor="accent1" w:themeTint="99"/>
              <w:right w:val="single" w:sz="8" w:space="0" w:color="8EAADB" w:themeColor="accent1" w:themeTint="99"/>
            </w:tcBorders>
            <w:tcMar>
              <w:top w:w="15" w:type="dxa"/>
              <w:left w:w="15" w:type="dxa"/>
              <w:right w:w="15" w:type="dxa"/>
            </w:tcMar>
            <w:vAlign w:val="center"/>
          </w:tcPr>
          <w:p w14:paraId="6630DDC0" w14:textId="4995D699" w:rsidR="1A24BF23" w:rsidRPr="00FC5B6A" w:rsidRDefault="1A24BF23" w:rsidP="1A24BF23">
            <w:pPr>
              <w:spacing w:after="0"/>
            </w:pPr>
            <w:r w:rsidRPr="00FC5B6A">
              <w:rPr>
                <w:rFonts w:ascii="Arial" w:eastAsia="Arial" w:hAnsi="Arial" w:cs="Arial"/>
                <w:b/>
                <w:bCs/>
                <w:sz w:val="16"/>
                <w:szCs w:val="16"/>
              </w:rPr>
              <w:t xml:space="preserve">Moderación de movimientos de masa y retención del suelo </w:t>
            </w:r>
          </w:p>
        </w:tc>
        <w:tc>
          <w:tcPr>
            <w:tcW w:w="752" w:type="dxa"/>
            <w:tcBorders>
              <w:top w:val="single" w:sz="8" w:space="0" w:color="8EAADB" w:themeColor="accent1" w:themeTint="99"/>
              <w:left w:val="single" w:sz="4" w:space="0" w:color="000000" w:themeColor="text1"/>
              <w:bottom w:val="single" w:sz="8" w:space="0" w:color="8EAADB" w:themeColor="accent1" w:themeTint="99"/>
              <w:right w:val="single" w:sz="8" w:space="0" w:color="8EAADB" w:themeColor="accent1" w:themeTint="99"/>
            </w:tcBorders>
            <w:shd w:val="clear" w:color="auto" w:fill="D9E2F3" w:themeFill="accent1" w:themeFillTint="33"/>
            <w:tcMar>
              <w:top w:w="15" w:type="dxa"/>
              <w:left w:w="15" w:type="dxa"/>
              <w:right w:w="15" w:type="dxa"/>
            </w:tcMar>
            <w:vAlign w:val="center"/>
          </w:tcPr>
          <w:p w14:paraId="0782B552" w14:textId="7FBA04E3" w:rsidR="1A24BF23" w:rsidRPr="00FC5B6A" w:rsidRDefault="1A24BF23" w:rsidP="1A24BF23">
            <w:pPr>
              <w:spacing w:after="0"/>
            </w:pPr>
            <w:r w:rsidRPr="00FC5B6A">
              <w:rPr>
                <w:rFonts w:ascii="Arial" w:eastAsia="Arial" w:hAnsi="Arial" w:cs="Arial"/>
                <w:b/>
                <w:bCs/>
                <w:sz w:val="16"/>
                <w:szCs w:val="16"/>
              </w:rPr>
              <w:t xml:space="preserve">Amortiguación de inundaciones </w:t>
            </w:r>
          </w:p>
        </w:tc>
        <w:tc>
          <w:tcPr>
            <w:tcW w:w="709" w:type="dxa"/>
            <w:tcBorders>
              <w:top w:val="single" w:sz="8" w:space="0" w:color="8EAADB" w:themeColor="accent1" w:themeTint="99"/>
              <w:left w:val="single" w:sz="4" w:space="0" w:color="000000" w:themeColor="text1"/>
              <w:bottom w:val="single" w:sz="8" w:space="0" w:color="8EAADB" w:themeColor="accent1" w:themeTint="99"/>
              <w:right w:val="single" w:sz="8" w:space="0" w:color="8EAADB" w:themeColor="accent1" w:themeTint="99"/>
            </w:tcBorders>
            <w:tcMar>
              <w:top w:w="15" w:type="dxa"/>
              <w:left w:w="15" w:type="dxa"/>
              <w:right w:w="15" w:type="dxa"/>
            </w:tcMar>
            <w:vAlign w:val="center"/>
          </w:tcPr>
          <w:p w14:paraId="59AA32E6" w14:textId="542592E7" w:rsidR="1A24BF23" w:rsidRPr="00FC5B6A" w:rsidRDefault="1A24BF23" w:rsidP="1A24BF23">
            <w:pPr>
              <w:spacing w:after="0"/>
            </w:pPr>
            <w:r w:rsidRPr="00FC5B6A">
              <w:rPr>
                <w:rFonts w:ascii="Arial" w:eastAsia="Arial" w:hAnsi="Arial" w:cs="Arial"/>
                <w:b/>
                <w:bCs/>
                <w:sz w:val="16"/>
                <w:szCs w:val="16"/>
              </w:rPr>
              <w:t xml:space="preserve">Regulación climática global por reducción de GEI </w:t>
            </w:r>
          </w:p>
        </w:tc>
        <w:tc>
          <w:tcPr>
            <w:tcW w:w="709" w:type="dxa"/>
            <w:tcBorders>
              <w:top w:val="single" w:sz="8" w:space="0" w:color="8EAADB" w:themeColor="accent1" w:themeTint="99"/>
              <w:left w:val="single" w:sz="4" w:space="0" w:color="000000" w:themeColor="text1"/>
              <w:bottom w:val="single" w:sz="8" w:space="0" w:color="8EAADB" w:themeColor="accent1" w:themeTint="99"/>
              <w:right w:val="single" w:sz="8" w:space="0" w:color="8EAADB" w:themeColor="accent1" w:themeTint="99"/>
            </w:tcBorders>
            <w:shd w:val="clear" w:color="auto" w:fill="D9E2F3" w:themeFill="accent1" w:themeFillTint="33"/>
            <w:tcMar>
              <w:top w:w="15" w:type="dxa"/>
              <w:left w:w="15" w:type="dxa"/>
              <w:right w:w="15" w:type="dxa"/>
            </w:tcMar>
            <w:vAlign w:val="center"/>
          </w:tcPr>
          <w:p w14:paraId="1DAFC1CE" w14:textId="6D54B143" w:rsidR="1A24BF23" w:rsidRPr="00FC5B6A" w:rsidRDefault="1A24BF23" w:rsidP="1A24BF23">
            <w:pPr>
              <w:spacing w:after="0"/>
            </w:pPr>
            <w:r w:rsidRPr="00FC5B6A">
              <w:rPr>
                <w:rFonts w:ascii="Arial" w:eastAsia="Arial" w:hAnsi="Arial" w:cs="Arial"/>
                <w:b/>
                <w:bCs/>
                <w:sz w:val="16"/>
                <w:szCs w:val="16"/>
              </w:rPr>
              <w:t xml:space="preserve">Regulación climática local y regional </w:t>
            </w:r>
          </w:p>
        </w:tc>
        <w:tc>
          <w:tcPr>
            <w:tcW w:w="727" w:type="dxa"/>
            <w:tcBorders>
              <w:top w:val="single" w:sz="8" w:space="0" w:color="8EAADB" w:themeColor="accent1" w:themeTint="99"/>
              <w:left w:val="single" w:sz="4" w:space="0" w:color="000000" w:themeColor="text1"/>
              <w:bottom w:val="single" w:sz="4" w:space="0" w:color="000000" w:themeColor="text1"/>
              <w:right w:val="single" w:sz="8" w:space="0" w:color="8EAADB" w:themeColor="accent1" w:themeTint="99"/>
            </w:tcBorders>
            <w:tcMar>
              <w:top w:w="15" w:type="dxa"/>
              <w:left w:w="15" w:type="dxa"/>
              <w:right w:w="15" w:type="dxa"/>
            </w:tcMar>
            <w:vAlign w:val="center"/>
          </w:tcPr>
          <w:p w14:paraId="3B64936D" w14:textId="295A0FAF" w:rsidR="1A24BF23" w:rsidRPr="00FC5B6A" w:rsidRDefault="1A24BF23" w:rsidP="1A24BF23">
            <w:pPr>
              <w:spacing w:after="0"/>
            </w:pPr>
            <w:r w:rsidRPr="00FC5B6A">
              <w:rPr>
                <w:rFonts w:ascii="Arial" w:eastAsia="Arial" w:hAnsi="Arial" w:cs="Arial"/>
                <w:b/>
                <w:bCs/>
                <w:sz w:val="16"/>
                <w:szCs w:val="16"/>
              </w:rPr>
              <w:t xml:space="preserve">Ecosistemas y/o paisajes con importancia cultural </w:t>
            </w:r>
          </w:p>
        </w:tc>
      </w:tr>
      <w:tr w:rsidR="1A24BF23" w:rsidRPr="00FC5B6A" w14:paraId="1DDE32BC" w14:textId="77777777" w:rsidTr="1A24BF23">
        <w:trPr>
          <w:trHeight w:val="615"/>
        </w:trPr>
        <w:tc>
          <w:tcPr>
            <w:tcW w:w="942" w:type="dxa"/>
            <w:tcBorders>
              <w:top w:val="single" w:sz="4" w:space="0" w:color="000000" w:themeColor="text1"/>
              <w:left w:val="single" w:sz="8" w:space="0" w:color="5B9BD5" w:themeColor="accent5"/>
              <w:bottom w:val="single" w:sz="8" w:space="0" w:color="5B9BD5" w:themeColor="accent5"/>
              <w:right w:val="nil"/>
            </w:tcBorders>
            <w:shd w:val="clear" w:color="auto" w:fill="4472C4" w:themeFill="accent1"/>
            <w:tcMar>
              <w:top w:w="15" w:type="dxa"/>
              <w:left w:w="15" w:type="dxa"/>
              <w:right w:w="15" w:type="dxa"/>
            </w:tcMar>
            <w:vAlign w:val="center"/>
          </w:tcPr>
          <w:p w14:paraId="07BE582E" w14:textId="1EFC1D1D" w:rsidR="1A24BF23" w:rsidRPr="00FC5B6A" w:rsidRDefault="1A24BF23" w:rsidP="1A24BF23">
            <w:pPr>
              <w:spacing w:after="0"/>
            </w:pPr>
            <w:r w:rsidRPr="00FC5B6A">
              <w:rPr>
                <w:rFonts w:ascii="Arial" w:eastAsia="Arial" w:hAnsi="Arial" w:cs="Arial"/>
                <w:b/>
                <w:bCs/>
                <w:color w:val="FFFFFF" w:themeColor="background1"/>
                <w:sz w:val="16"/>
                <w:szCs w:val="16"/>
              </w:rPr>
              <w:t xml:space="preserve">UNIDAD SUPRAMUNICIPAL </w:t>
            </w:r>
          </w:p>
        </w:tc>
        <w:tc>
          <w:tcPr>
            <w:tcW w:w="703" w:type="dxa"/>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4472C4" w:themeFill="accent1"/>
            <w:tcMar>
              <w:top w:w="15" w:type="dxa"/>
              <w:left w:w="15" w:type="dxa"/>
              <w:right w:w="15" w:type="dxa"/>
            </w:tcMar>
            <w:vAlign w:val="center"/>
          </w:tcPr>
          <w:p w14:paraId="26DC947A" w14:textId="0F07901F" w:rsidR="1A24BF23" w:rsidRPr="00FC5B6A" w:rsidRDefault="1A24BF23" w:rsidP="1A24BF23">
            <w:pPr>
              <w:spacing w:after="0"/>
              <w:jc w:val="center"/>
            </w:pPr>
            <w:r w:rsidRPr="00FC5B6A">
              <w:rPr>
                <w:rFonts w:ascii="Arial" w:eastAsia="Arial" w:hAnsi="Arial" w:cs="Arial"/>
                <w:b/>
                <w:bCs/>
                <w:color w:val="FFFFFF" w:themeColor="background1"/>
                <w:sz w:val="16"/>
                <w:szCs w:val="16"/>
              </w:rPr>
              <w:t xml:space="preserve">Pesos Boyacá - Norte de Santander </w:t>
            </w:r>
          </w:p>
        </w:tc>
        <w:tc>
          <w:tcPr>
            <w:tcW w:w="706" w:type="dxa"/>
            <w:tcBorders>
              <w:top w:val="single" w:sz="8" w:space="0" w:color="5B9BD5" w:themeColor="accent5"/>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15" w:type="dxa"/>
              <w:left w:w="15" w:type="dxa"/>
              <w:right w:w="15" w:type="dxa"/>
            </w:tcMar>
            <w:vAlign w:val="center"/>
          </w:tcPr>
          <w:p w14:paraId="0FBF627E" w14:textId="2166DF54" w:rsidR="1A24BF23" w:rsidRPr="00FC5B6A" w:rsidRDefault="1A24BF23" w:rsidP="1A24BF23">
            <w:pPr>
              <w:spacing w:after="0"/>
            </w:pPr>
            <w:r w:rsidRPr="00FC5B6A">
              <w:rPr>
                <w:rFonts w:ascii="Arial" w:eastAsia="Arial" w:hAnsi="Arial" w:cs="Arial"/>
                <w:sz w:val="16"/>
                <w:szCs w:val="16"/>
              </w:rPr>
              <w:t xml:space="preserve">5 </w:t>
            </w:r>
          </w:p>
        </w:tc>
        <w:tc>
          <w:tcPr>
            <w:tcW w:w="725" w:type="dxa"/>
            <w:tcBorders>
              <w:top w:val="single" w:sz="8" w:space="0" w:color="8EAADB" w:themeColor="accent1" w:themeTint="99"/>
              <w:left w:val="single" w:sz="8" w:space="0" w:color="8EAADB" w:themeColor="accent1" w:themeTint="99"/>
              <w:bottom w:val="single" w:sz="8" w:space="0" w:color="8EAADB" w:themeColor="accent1" w:themeTint="99"/>
              <w:right w:val="single" w:sz="8" w:space="0" w:color="8EAADB" w:themeColor="accent1" w:themeTint="99"/>
            </w:tcBorders>
            <w:tcMar>
              <w:top w:w="15" w:type="dxa"/>
              <w:left w:w="15" w:type="dxa"/>
              <w:right w:w="15" w:type="dxa"/>
            </w:tcMar>
            <w:vAlign w:val="center"/>
          </w:tcPr>
          <w:p w14:paraId="2CA3CE55" w14:textId="58577FD5" w:rsidR="1A24BF23" w:rsidRPr="00FC5B6A" w:rsidRDefault="1A24BF23" w:rsidP="1A24BF23">
            <w:pPr>
              <w:spacing w:after="0"/>
            </w:pPr>
            <w:r w:rsidRPr="00FC5B6A">
              <w:rPr>
                <w:rFonts w:ascii="Arial" w:eastAsia="Arial" w:hAnsi="Arial" w:cs="Arial"/>
                <w:sz w:val="16"/>
                <w:szCs w:val="16"/>
              </w:rPr>
              <w:t xml:space="preserve">3 </w:t>
            </w:r>
          </w:p>
        </w:tc>
        <w:tc>
          <w:tcPr>
            <w:tcW w:w="720" w:type="dxa"/>
            <w:tcBorders>
              <w:top w:val="single" w:sz="8" w:space="0" w:color="8EAADB" w:themeColor="accent1" w:themeTint="99"/>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15" w:type="dxa"/>
              <w:left w:w="15" w:type="dxa"/>
              <w:right w:w="15" w:type="dxa"/>
            </w:tcMar>
            <w:vAlign w:val="center"/>
          </w:tcPr>
          <w:p w14:paraId="232C1CEF" w14:textId="104AF9F7" w:rsidR="1A24BF23" w:rsidRPr="00FC5B6A" w:rsidRDefault="1A24BF23" w:rsidP="1A24BF23">
            <w:pPr>
              <w:spacing w:after="0"/>
            </w:pPr>
            <w:r w:rsidRPr="00FC5B6A">
              <w:rPr>
                <w:rFonts w:ascii="Arial" w:eastAsia="Arial" w:hAnsi="Arial" w:cs="Arial"/>
                <w:sz w:val="16"/>
                <w:szCs w:val="16"/>
              </w:rPr>
              <w:t xml:space="preserve">5 </w:t>
            </w:r>
          </w:p>
        </w:tc>
        <w:tc>
          <w:tcPr>
            <w:tcW w:w="712" w:type="dxa"/>
            <w:tcBorders>
              <w:top w:val="single" w:sz="8" w:space="0" w:color="8EAADB" w:themeColor="accent1" w:themeTint="99"/>
              <w:left w:val="single" w:sz="8" w:space="0" w:color="8EAADB" w:themeColor="accent1" w:themeTint="99"/>
              <w:bottom w:val="single" w:sz="8" w:space="0" w:color="8EAADB" w:themeColor="accent1" w:themeTint="99"/>
              <w:right w:val="single" w:sz="8" w:space="0" w:color="8EAADB" w:themeColor="accent1" w:themeTint="99"/>
            </w:tcBorders>
            <w:tcMar>
              <w:top w:w="15" w:type="dxa"/>
              <w:left w:w="15" w:type="dxa"/>
              <w:right w:w="15" w:type="dxa"/>
            </w:tcMar>
            <w:vAlign w:val="center"/>
          </w:tcPr>
          <w:p w14:paraId="385134E2" w14:textId="52E122FE" w:rsidR="1A24BF23" w:rsidRPr="00FC5B6A" w:rsidRDefault="1A24BF23" w:rsidP="1A24BF23">
            <w:pPr>
              <w:spacing w:after="0"/>
            </w:pPr>
            <w:r w:rsidRPr="00FC5B6A">
              <w:rPr>
                <w:rFonts w:ascii="Arial" w:eastAsia="Arial" w:hAnsi="Arial" w:cs="Arial"/>
                <w:sz w:val="16"/>
                <w:szCs w:val="16"/>
              </w:rPr>
              <w:t xml:space="preserve">4 </w:t>
            </w:r>
          </w:p>
        </w:tc>
        <w:tc>
          <w:tcPr>
            <w:tcW w:w="701" w:type="dxa"/>
            <w:tcBorders>
              <w:top w:val="single" w:sz="8" w:space="0" w:color="8EAADB" w:themeColor="accent1" w:themeTint="99"/>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15" w:type="dxa"/>
              <w:left w:w="15" w:type="dxa"/>
              <w:right w:w="15" w:type="dxa"/>
            </w:tcMar>
            <w:vAlign w:val="center"/>
          </w:tcPr>
          <w:p w14:paraId="4B38DF1F" w14:textId="4D7B35B9" w:rsidR="1A24BF23" w:rsidRPr="00FC5B6A" w:rsidRDefault="1A24BF23" w:rsidP="1A24BF23">
            <w:pPr>
              <w:spacing w:after="0"/>
            </w:pPr>
            <w:r w:rsidRPr="00FC5B6A">
              <w:rPr>
                <w:rFonts w:ascii="Arial" w:eastAsia="Arial" w:hAnsi="Arial" w:cs="Arial"/>
                <w:sz w:val="16"/>
                <w:szCs w:val="16"/>
              </w:rPr>
              <w:t xml:space="preserve">5 </w:t>
            </w:r>
          </w:p>
        </w:tc>
        <w:tc>
          <w:tcPr>
            <w:tcW w:w="729" w:type="dxa"/>
            <w:tcBorders>
              <w:top w:val="single" w:sz="8" w:space="0" w:color="8EAADB" w:themeColor="accent1" w:themeTint="99"/>
              <w:left w:val="single" w:sz="8" w:space="0" w:color="8EAADB" w:themeColor="accent1" w:themeTint="99"/>
              <w:bottom w:val="single" w:sz="8" w:space="0" w:color="8EAADB" w:themeColor="accent1" w:themeTint="99"/>
              <w:right w:val="single" w:sz="8" w:space="0" w:color="8EAADB" w:themeColor="accent1" w:themeTint="99"/>
            </w:tcBorders>
            <w:tcMar>
              <w:top w:w="15" w:type="dxa"/>
              <w:left w:w="15" w:type="dxa"/>
              <w:right w:w="15" w:type="dxa"/>
            </w:tcMar>
            <w:vAlign w:val="center"/>
          </w:tcPr>
          <w:p w14:paraId="2CB8FC6B" w14:textId="38C1502C" w:rsidR="1A24BF23" w:rsidRPr="00FC5B6A" w:rsidRDefault="1A24BF23" w:rsidP="1A24BF23">
            <w:pPr>
              <w:spacing w:after="0"/>
            </w:pPr>
            <w:r w:rsidRPr="00FC5B6A">
              <w:rPr>
                <w:rFonts w:ascii="Arial" w:eastAsia="Arial" w:hAnsi="Arial" w:cs="Arial"/>
                <w:sz w:val="16"/>
                <w:szCs w:val="16"/>
              </w:rPr>
              <w:t xml:space="preserve">3 </w:t>
            </w:r>
          </w:p>
        </w:tc>
        <w:tc>
          <w:tcPr>
            <w:tcW w:w="752" w:type="dxa"/>
            <w:tcBorders>
              <w:top w:val="single" w:sz="8" w:space="0" w:color="8EAADB" w:themeColor="accent1" w:themeTint="99"/>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15" w:type="dxa"/>
              <w:left w:w="15" w:type="dxa"/>
              <w:right w:w="15" w:type="dxa"/>
            </w:tcMar>
            <w:vAlign w:val="center"/>
          </w:tcPr>
          <w:p w14:paraId="0C1A1ABB" w14:textId="484E4DDF" w:rsidR="1A24BF23" w:rsidRPr="00FC5B6A" w:rsidRDefault="1A24BF23" w:rsidP="1A24BF23">
            <w:pPr>
              <w:spacing w:after="0"/>
            </w:pPr>
            <w:r w:rsidRPr="00FC5B6A">
              <w:rPr>
                <w:rFonts w:ascii="Arial" w:eastAsia="Arial" w:hAnsi="Arial" w:cs="Arial"/>
                <w:sz w:val="16"/>
                <w:szCs w:val="16"/>
              </w:rPr>
              <w:t xml:space="preserve">3 </w:t>
            </w:r>
          </w:p>
        </w:tc>
        <w:tc>
          <w:tcPr>
            <w:tcW w:w="709" w:type="dxa"/>
            <w:tcBorders>
              <w:top w:val="single" w:sz="8" w:space="0" w:color="8EAADB" w:themeColor="accent1" w:themeTint="99"/>
              <w:left w:val="single" w:sz="8" w:space="0" w:color="8EAADB" w:themeColor="accent1" w:themeTint="99"/>
              <w:bottom w:val="single" w:sz="8" w:space="0" w:color="8EAADB" w:themeColor="accent1" w:themeTint="99"/>
              <w:right w:val="single" w:sz="8" w:space="0" w:color="8EAADB" w:themeColor="accent1" w:themeTint="99"/>
            </w:tcBorders>
            <w:tcMar>
              <w:top w:w="15" w:type="dxa"/>
              <w:left w:w="15" w:type="dxa"/>
              <w:right w:w="15" w:type="dxa"/>
            </w:tcMar>
            <w:vAlign w:val="center"/>
          </w:tcPr>
          <w:p w14:paraId="73977955" w14:textId="30D2ABBA" w:rsidR="1A24BF23" w:rsidRPr="00FC5B6A" w:rsidRDefault="1A24BF23" w:rsidP="1A24BF23">
            <w:pPr>
              <w:spacing w:after="0"/>
            </w:pPr>
            <w:r w:rsidRPr="00FC5B6A">
              <w:rPr>
                <w:rFonts w:ascii="Arial" w:eastAsia="Arial" w:hAnsi="Arial" w:cs="Arial"/>
                <w:sz w:val="16"/>
                <w:szCs w:val="16"/>
              </w:rPr>
              <w:t xml:space="preserve">4 </w:t>
            </w:r>
          </w:p>
        </w:tc>
        <w:tc>
          <w:tcPr>
            <w:tcW w:w="709" w:type="dxa"/>
            <w:tcBorders>
              <w:top w:val="single" w:sz="8" w:space="0" w:color="8EAADB" w:themeColor="accent1" w:themeTint="99"/>
              <w:left w:val="single" w:sz="8" w:space="0" w:color="8EAADB" w:themeColor="accent1" w:themeTint="99"/>
              <w:bottom w:val="single" w:sz="8" w:space="0" w:color="8EAADB" w:themeColor="accent1" w:themeTint="99"/>
              <w:right w:val="single" w:sz="8" w:space="0" w:color="8EAADB" w:themeColor="accent1" w:themeTint="99"/>
            </w:tcBorders>
            <w:shd w:val="clear" w:color="auto" w:fill="D9E2F3" w:themeFill="accent1" w:themeFillTint="33"/>
            <w:tcMar>
              <w:top w:w="15" w:type="dxa"/>
              <w:left w:w="15" w:type="dxa"/>
              <w:right w:w="15" w:type="dxa"/>
            </w:tcMar>
            <w:vAlign w:val="center"/>
          </w:tcPr>
          <w:p w14:paraId="407172D7" w14:textId="15E8DC2B" w:rsidR="1A24BF23" w:rsidRPr="00FC5B6A" w:rsidRDefault="1A24BF23" w:rsidP="1A24BF23">
            <w:pPr>
              <w:spacing w:after="0"/>
            </w:pPr>
            <w:r w:rsidRPr="00FC5B6A">
              <w:rPr>
                <w:rFonts w:ascii="Arial" w:eastAsia="Arial" w:hAnsi="Arial" w:cs="Arial"/>
                <w:sz w:val="16"/>
                <w:szCs w:val="16"/>
              </w:rPr>
              <w:t xml:space="preserve">4 </w:t>
            </w:r>
          </w:p>
        </w:tc>
        <w:tc>
          <w:tcPr>
            <w:tcW w:w="727" w:type="dxa"/>
            <w:tcBorders>
              <w:top w:val="single" w:sz="8" w:space="0" w:color="8EAADB" w:themeColor="accent1" w:themeTint="99"/>
              <w:left w:val="single" w:sz="8" w:space="0" w:color="8EAADB" w:themeColor="accent1" w:themeTint="99"/>
              <w:bottom w:val="single" w:sz="4" w:space="0" w:color="000000" w:themeColor="text1"/>
              <w:right w:val="single" w:sz="8" w:space="0" w:color="8EAADB" w:themeColor="accent1" w:themeTint="99"/>
            </w:tcBorders>
            <w:tcMar>
              <w:top w:w="15" w:type="dxa"/>
              <w:left w:w="15" w:type="dxa"/>
              <w:right w:w="15" w:type="dxa"/>
            </w:tcMar>
            <w:vAlign w:val="center"/>
          </w:tcPr>
          <w:p w14:paraId="0BCC87E9" w14:textId="0388309E" w:rsidR="1A24BF23" w:rsidRPr="00FC5B6A" w:rsidRDefault="1A24BF23" w:rsidP="1A24BF23">
            <w:pPr>
              <w:spacing w:after="0"/>
            </w:pPr>
            <w:r w:rsidRPr="00FC5B6A">
              <w:rPr>
                <w:rFonts w:ascii="Arial" w:eastAsia="Arial" w:hAnsi="Arial" w:cs="Arial"/>
                <w:sz w:val="16"/>
                <w:szCs w:val="16"/>
              </w:rPr>
              <w:t>4</w:t>
            </w:r>
          </w:p>
        </w:tc>
      </w:tr>
    </w:tbl>
    <w:p w14:paraId="6836BA32" w14:textId="77777777" w:rsidR="00DD1BA5" w:rsidRPr="00FC5B6A" w:rsidRDefault="00DD1BA5" w:rsidP="000C325D">
      <w:pPr>
        <w:spacing w:after="0" w:line="240" w:lineRule="auto"/>
        <w:jc w:val="both"/>
        <w:rPr>
          <w:rFonts w:eastAsiaTheme="majorEastAsia" w:cstheme="minorHAnsi"/>
          <w:noProof/>
          <w:color w:val="000000" w:themeColor="text1"/>
        </w:rPr>
      </w:pPr>
    </w:p>
    <w:p w14:paraId="1691F698" w14:textId="77777777" w:rsidR="00DD1BA5" w:rsidRPr="00FC5B6A" w:rsidRDefault="00DD1BA5" w:rsidP="000C325D">
      <w:pPr>
        <w:spacing w:after="0" w:line="240" w:lineRule="auto"/>
        <w:jc w:val="both"/>
        <w:rPr>
          <w:rFonts w:eastAsiaTheme="majorEastAsia" w:cstheme="minorHAnsi"/>
          <w:noProof/>
          <w:color w:val="000000" w:themeColor="text1"/>
        </w:rPr>
      </w:pPr>
      <w:r w:rsidRPr="00FC5B6A">
        <w:rPr>
          <w:rFonts w:eastAsiaTheme="majorEastAsia" w:cstheme="minorHAnsi"/>
          <w:noProof/>
          <w:color w:val="000000" w:themeColor="text1"/>
        </w:rPr>
        <w:t>Siendo; 5: Muy Relevante para el bienestar humano local; 3: Medianamente Relevante para el bienestar humano local; 1: Poco Relevante para el bienestar humano local.</w:t>
      </w:r>
    </w:p>
    <w:p w14:paraId="78ADE44E" w14:textId="77777777" w:rsidR="00DD1BA5" w:rsidRPr="00FC5B6A" w:rsidRDefault="00DD1BA5" w:rsidP="000C325D">
      <w:pPr>
        <w:spacing w:after="0" w:line="240" w:lineRule="auto"/>
        <w:jc w:val="both"/>
        <w:rPr>
          <w:rFonts w:eastAsiaTheme="majorEastAsia" w:cstheme="minorHAnsi"/>
          <w:noProof/>
          <w:color w:val="000000" w:themeColor="text1"/>
        </w:rPr>
      </w:pPr>
    </w:p>
    <w:p w14:paraId="421C824A" w14:textId="139A0362" w:rsidR="00DD1BA5" w:rsidRPr="00FC5B6A" w:rsidRDefault="00DD1BA5" w:rsidP="000C325D">
      <w:pPr>
        <w:spacing w:after="0" w:line="240" w:lineRule="auto"/>
        <w:jc w:val="both"/>
        <w:rPr>
          <w:rFonts w:eastAsiaTheme="majorEastAsia" w:cstheme="minorHAnsi"/>
          <w:noProof/>
          <w:color w:val="000000" w:themeColor="text1"/>
        </w:rPr>
      </w:pPr>
      <w:r w:rsidRPr="00FC5B6A">
        <w:rPr>
          <w:rFonts w:eastAsiaTheme="majorEastAsia" w:cstheme="minorHAnsi"/>
          <w:noProof/>
          <w:color w:val="000000" w:themeColor="text1"/>
        </w:rPr>
        <w:t>Para orientar la definición de áreas prioritarias dentro de la subregión, es necesario combinar la información del estado actual de prestación de los SS.EE, los cuales a su vez, están sustentados en un conjunto de FF.EE. Así, los SS.EE son espacializados a partir de la información obtenida y ponderada de las FF.EE, permitiendo identificar aquellas áreas al interior de cada subregión, donde hay mayor oferta de Servicios Ecosistémicos, no sólo para un SS.EE en particular, sino también, para todos los SS.EE evaluados. De esta manera, se genera un mapa consolidado de la oferta de SS.EE en cada Subregión</w:t>
      </w:r>
      <w:r w:rsidR="009D7B82">
        <w:rPr>
          <w:rFonts w:eastAsiaTheme="majorEastAsia" w:cstheme="minorHAnsi"/>
          <w:noProof/>
          <w:color w:val="000000" w:themeColor="text1"/>
        </w:rPr>
        <w:t>.</w:t>
      </w:r>
      <w:r w:rsidRPr="00FC5B6A">
        <w:rPr>
          <w:rFonts w:eastAsiaTheme="majorEastAsia" w:cstheme="minorHAnsi"/>
          <w:noProof/>
          <w:color w:val="000000" w:themeColor="text1"/>
        </w:rPr>
        <w:t xml:space="preserve"> </w:t>
      </w:r>
    </w:p>
    <w:p w14:paraId="5ABF37C2" w14:textId="77777777" w:rsidR="00DD1BA5" w:rsidRPr="00FC5B6A" w:rsidRDefault="00DD1BA5" w:rsidP="000C325D">
      <w:pPr>
        <w:spacing w:after="0" w:line="240" w:lineRule="auto"/>
        <w:jc w:val="both"/>
        <w:rPr>
          <w:rFonts w:eastAsiaTheme="majorEastAsia" w:cstheme="minorHAnsi"/>
          <w:noProof/>
          <w:color w:val="000000" w:themeColor="text1"/>
        </w:rPr>
      </w:pPr>
    </w:p>
    <w:p w14:paraId="74CAF660" w14:textId="1824E7B1" w:rsidR="00DD1BA5" w:rsidRPr="00FC5B6A" w:rsidRDefault="22DF84DA" w:rsidP="000C325D">
      <w:pPr>
        <w:spacing w:after="0" w:line="240" w:lineRule="auto"/>
        <w:jc w:val="both"/>
        <w:rPr>
          <w:rFonts w:eastAsiaTheme="majorEastAsia"/>
          <w:noProof/>
          <w:color w:val="000000" w:themeColor="text1"/>
        </w:rPr>
      </w:pPr>
      <w:r w:rsidRPr="00FC5B6A">
        <w:rPr>
          <w:rFonts w:eastAsiaTheme="majorEastAsia"/>
          <w:noProof/>
          <w:color w:val="000000" w:themeColor="text1"/>
        </w:rPr>
        <w:t>Por otra parte, aunque la respuesta de cada servicio ecosistémico es diferente en el territorio y en otros casos depende de diferentes elementos del paisaje para asegurar su prestación, se hace necesario, pensando en los tomadores de decisones, obtener respuestas unificadas que sumen los resultados de todos los 10 SS.EE en una única salida. Para esto, se ponderaron los SS.EE de acuerdo con su importancia estratégica para el bienestar humano local (habitantes de cada uno de los municipios de interés), permitiendo categorizar la prestación de SS.EE en Alta, Media y Baja en diversos sectores de cada municipio, según sea la acumulación de un mayor número de SS.EE relevantes para el bienestar humano local.</w:t>
      </w:r>
    </w:p>
    <w:p w14:paraId="1DA3AA27" w14:textId="7D8F8419" w:rsidR="00DD1BA5" w:rsidRPr="00FC5B6A" w:rsidRDefault="00DD1BA5" w:rsidP="009D7B82">
      <w:pPr>
        <w:spacing w:after="0" w:line="276" w:lineRule="auto"/>
      </w:pPr>
    </w:p>
    <w:p w14:paraId="779D1696" w14:textId="77777777" w:rsidR="00B820C8" w:rsidRPr="00FC5B6A" w:rsidRDefault="00B820C8" w:rsidP="00DD1BA5">
      <w:pPr>
        <w:spacing w:after="0" w:line="276" w:lineRule="auto"/>
        <w:jc w:val="both"/>
        <w:rPr>
          <w:rFonts w:eastAsiaTheme="majorEastAsia" w:cstheme="minorHAnsi"/>
          <w:noProof/>
          <w:color w:val="000000" w:themeColor="text1"/>
        </w:rPr>
      </w:pPr>
    </w:p>
    <w:p w14:paraId="2AC34D1F" w14:textId="762F2FC8" w:rsidR="00DD1BA5" w:rsidRPr="00FC5B6A" w:rsidRDefault="00DD1BA5" w:rsidP="00DD1BA5">
      <w:pPr>
        <w:spacing w:after="0" w:line="276" w:lineRule="auto"/>
        <w:jc w:val="center"/>
        <w:rPr>
          <w:rFonts w:cstheme="minorHAnsi"/>
          <w:noProof/>
          <w:color w:val="000000" w:themeColor="text1"/>
        </w:rPr>
      </w:pPr>
    </w:p>
    <w:p w14:paraId="21726585" w14:textId="3B12B919" w:rsidR="00DD1BA5" w:rsidRPr="00FC5B6A" w:rsidRDefault="00B820C8" w:rsidP="00E72DBC">
      <w:pPr>
        <w:keepNext/>
        <w:spacing w:after="0" w:line="276" w:lineRule="auto"/>
        <w:ind w:left="360"/>
        <w:jc w:val="center"/>
        <w:rPr>
          <w:rFonts w:cstheme="minorHAnsi"/>
          <w:bCs/>
          <w:sz w:val="20"/>
          <w:szCs w:val="16"/>
        </w:rPr>
      </w:pPr>
      <w:bookmarkStart w:id="66" w:name="_Toc478482910"/>
      <w:bookmarkStart w:id="67" w:name="_Toc170133231"/>
      <w:r w:rsidRPr="00FC5B6A">
        <w:rPr>
          <w:rFonts w:cstheme="minorHAnsi"/>
          <w:bCs/>
          <w:sz w:val="20"/>
          <w:szCs w:val="16"/>
        </w:rPr>
        <w:t xml:space="preserve">Figura  </w:t>
      </w:r>
      <w:r w:rsidRPr="00FC5B6A">
        <w:rPr>
          <w:rFonts w:cstheme="minorHAnsi"/>
          <w:bCs/>
          <w:sz w:val="20"/>
          <w:szCs w:val="16"/>
        </w:rPr>
        <w:fldChar w:fldCharType="begin"/>
      </w:r>
      <w:r w:rsidRPr="00FC5B6A">
        <w:rPr>
          <w:rFonts w:cstheme="minorHAnsi"/>
          <w:bCs/>
          <w:sz w:val="20"/>
          <w:szCs w:val="16"/>
        </w:rPr>
        <w:instrText xml:space="preserve"> SEQ Figura_ \* ARABIC </w:instrText>
      </w:r>
      <w:r w:rsidRPr="00FC5B6A">
        <w:rPr>
          <w:rFonts w:cstheme="minorHAnsi"/>
          <w:bCs/>
          <w:sz w:val="20"/>
          <w:szCs w:val="16"/>
        </w:rPr>
        <w:fldChar w:fldCharType="separate"/>
      </w:r>
      <w:r w:rsidR="000C325D">
        <w:rPr>
          <w:rFonts w:cstheme="minorHAnsi"/>
          <w:bCs/>
          <w:noProof/>
          <w:sz w:val="20"/>
          <w:szCs w:val="16"/>
        </w:rPr>
        <w:t>8</w:t>
      </w:r>
      <w:r w:rsidRPr="00FC5B6A">
        <w:rPr>
          <w:rFonts w:cstheme="minorHAnsi"/>
          <w:bCs/>
          <w:sz w:val="20"/>
          <w:szCs w:val="16"/>
        </w:rPr>
        <w:fldChar w:fldCharType="end"/>
      </w:r>
      <w:r w:rsidRPr="00FC5B6A">
        <w:rPr>
          <w:rFonts w:cstheme="minorHAnsi"/>
          <w:bCs/>
          <w:sz w:val="20"/>
          <w:szCs w:val="16"/>
        </w:rPr>
        <w:t xml:space="preserve"> </w:t>
      </w:r>
      <w:r w:rsidR="00DD1BA5" w:rsidRPr="00FC5B6A">
        <w:rPr>
          <w:rFonts w:cstheme="minorHAnsi"/>
          <w:bCs/>
          <w:sz w:val="20"/>
          <w:szCs w:val="16"/>
        </w:rPr>
        <w:t>. Esquema resumen de la categorización del grado de prestación de los Servicios Ecosistémicos (SS.EE</w:t>
      </w:r>
      <w:bookmarkEnd w:id="66"/>
      <w:r w:rsidR="003D6280" w:rsidRPr="00FC5B6A">
        <w:rPr>
          <w:rFonts w:cstheme="minorHAnsi"/>
          <w:bCs/>
          <w:sz w:val="20"/>
          <w:szCs w:val="16"/>
        </w:rPr>
        <w:t>)</w:t>
      </w:r>
      <w:bookmarkEnd w:id="67"/>
    </w:p>
    <w:p w14:paraId="3CAD6F31" w14:textId="44DAF5C1" w:rsidR="00DD1BA5" w:rsidRPr="00FC5B6A" w:rsidRDefault="00B820C8" w:rsidP="00B820C8">
      <w:pPr>
        <w:keepNext/>
        <w:spacing w:after="0" w:line="276" w:lineRule="auto"/>
        <w:jc w:val="both"/>
        <w:rPr>
          <w:rFonts w:cstheme="minorHAnsi"/>
          <w:color w:val="000000" w:themeColor="text1"/>
        </w:rPr>
      </w:pPr>
      <w:bookmarkStart w:id="68" w:name="_Toc468460081"/>
      <w:bookmarkStart w:id="69" w:name="_Toc468716365"/>
      <w:bookmarkStart w:id="70" w:name="_Toc476554561"/>
      <w:r w:rsidRPr="00FC5B6A">
        <w:rPr>
          <w:rFonts w:cstheme="minorHAnsi"/>
          <w:noProof/>
          <w:color w:val="000000" w:themeColor="text1"/>
          <w:lang w:eastAsia="es-CO"/>
        </w:rPr>
        <w:drawing>
          <wp:inline distT="0" distB="0" distL="0" distR="0" wp14:anchorId="1F12D172" wp14:editId="2C089EC4">
            <wp:extent cx="4905022" cy="2688383"/>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email">
                      <a:extLst>
                        <a:ext uri="{28A0092B-C50C-407E-A947-70E740481C1C}">
                          <a14:useLocalDpi xmlns:a14="http://schemas.microsoft.com/office/drawing/2010/main"/>
                        </a:ext>
                      </a:extLst>
                    </a:blip>
                    <a:stretch>
                      <a:fillRect/>
                    </a:stretch>
                  </pic:blipFill>
                  <pic:spPr>
                    <a:xfrm>
                      <a:off x="0" y="0"/>
                      <a:ext cx="4913502" cy="2693031"/>
                    </a:xfrm>
                    <a:prstGeom prst="rect">
                      <a:avLst/>
                    </a:prstGeom>
                  </pic:spPr>
                </pic:pic>
              </a:graphicData>
            </a:graphic>
          </wp:inline>
        </w:drawing>
      </w:r>
      <w:bookmarkEnd w:id="68"/>
      <w:bookmarkEnd w:id="69"/>
      <w:bookmarkEnd w:id="70"/>
    </w:p>
    <w:p w14:paraId="7A2FC60A" w14:textId="77777777" w:rsidR="00B820C8" w:rsidRPr="00FC5B6A" w:rsidRDefault="00B820C8" w:rsidP="00DD1BA5">
      <w:pPr>
        <w:spacing w:after="0" w:line="276" w:lineRule="auto"/>
        <w:jc w:val="both"/>
        <w:rPr>
          <w:rFonts w:cstheme="minorHAnsi"/>
          <w:color w:val="000000" w:themeColor="text1"/>
        </w:rPr>
      </w:pPr>
    </w:p>
    <w:p w14:paraId="648F7667" w14:textId="77749156" w:rsidR="00DD1BA5" w:rsidRPr="000C325D" w:rsidRDefault="00DD1BA5" w:rsidP="00B65467">
      <w:pPr>
        <w:pStyle w:val="Ttulo3"/>
        <w:numPr>
          <w:ilvl w:val="2"/>
          <w:numId w:val="20"/>
        </w:numPr>
        <w:rPr>
          <w:rFonts w:asciiTheme="minorHAnsi" w:hAnsiTheme="minorHAnsi" w:cstheme="minorHAnsi"/>
          <w:noProof/>
          <w:color w:val="2F5496" w:themeColor="accent1" w:themeShade="BF"/>
          <w:sz w:val="22"/>
          <w:szCs w:val="22"/>
        </w:rPr>
      </w:pPr>
      <w:bookmarkStart w:id="71" w:name="_Toc468460082"/>
      <w:bookmarkStart w:id="72" w:name="_Toc468716366"/>
      <w:bookmarkStart w:id="73" w:name="_Toc478398818"/>
      <w:bookmarkStart w:id="74" w:name="_Toc72330019"/>
      <w:bookmarkStart w:id="75" w:name="_Toc186104581"/>
      <w:bookmarkStart w:id="76" w:name="_Toc224921364"/>
      <w:r w:rsidRPr="000C325D">
        <w:rPr>
          <w:rFonts w:asciiTheme="minorHAnsi" w:hAnsiTheme="minorHAnsi" w:cstheme="minorHAnsi"/>
          <w:noProof/>
          <w:color w:val="2F5496" w:themeColor="accent1" w:themeShade="BF"/>
          <w:sz w:val="22"/>
          <w:szCs w:val="22"/>
        </w:rPr>
        <w:t>ETAPA 2. Evaluación de las Dinámicas Socio-Ambientales (Presiones Antrópicas) sobre la Oferta de SS.EE</w:t>
      </w:r>
      <w:bookmarkEnd w:id="71"/>
      <w:bookmarkEnd w:id="72"/>
      <w:bookmarkEnd w:id="73"/>
      <w:bookmarkEnd w:id="74"/>
      <w:bookmarkEnd w:id="75"/>
      <w:bookmarkEnd w:id="76"/>
    </w:p>
    <w:p w14:paraId="65AC8F4B" w14:textId="77777777" w:rsidR="0065455A" w:rsidRPr="00FC5B6A" w:rsidRDefault="0065455A" w:rsidP="0088511D">
      <w:pPr>
        <w:spacing w:after="0" w:line="276" w:lineRule="auto"/>
        <w:jc w:val="both"/>
        <w:rPr>
          <w:rFonts w:eastAsiaTheme="majorEastAsia" w:cstheme="minorHAnsi"/>
          <w:noProof/>
          <w:color w:val="000000" w:themeColor="text1"/>
        </w:rPr>
      </w:pPr>
    </w:p>
    <w:p w14:paraId="17448BE6" w14:textId="5739F659" w:rsidR="0088511D" w:rsidRPr="00FC5B6A" w:rsidRDefault="0088511D" w:rsidP="000C325D">
      <w:pPr>
        <w:spacing w:after="0" w:line="240" w:lineRule="auto"/>
        <w:jc w:val="both"/>
        <w:rPr>
          <w:rFonts w:eastAsiaTheme="majorEastAsia" w:cstheme="minorHAnsi"/>
          <w:noProof/>
          <w:color w:val="000000" w:themeColor="text1"/>
        </w:rPr>
      </w:pPr>
      <w:r w:rsidRPr="00FC5B6A">
        <w:rPr>
          <w:rFonts w:eastAsiaTheme="majorEastAsia" w:cstheme="minorHAnsi"/>
          <w:noProof/>
          <w:color w:val="000000" w:themeColor="text1"/>
        </w:rPr>
        <w:t xml:space="preserve">Para balancear la ecuación y cerrar el ciclo sobre los SS.EE, es necesario evaluar no solo la oferta de éstos, sino también reconocer que existen presiones que afectan su correcta prestación. Así, la segunda etapa del proceso de zonificación ambiental contempla la identificación de aquellas presiones provenientes de la acción directa de motores de pérdida y transformación de la biodiversidad, que son a su vez el resultado de las dinámicas sociales que actúan en el territorio. </w:t>
      </w:r>
    </w:p>
    <w:p w14:paraId="3BB7AFF3" w14:textId="77777777" w:rsidR="0088511D" w:rsidRPr="00FC5B6A" w:rsidRDefault="0088511D" w:rsidP="000C325D">
      <w:pPr>
        <w:spacing w:after="0" w:line="240" w:lineRule="auto"/>
        <w:jc w:val="both"/>
        <w:rPr>
          <w:rFonts w:eastAsiaTheme="majorEastAsia" w:cstheme="minorHAnsi"/>
          <w:noProof/>
          <w:color w:val="000000" w:themeColor="text1"/>
        </w:rPr>
      </w:pPr>
    </w:p>
    <w:p w14:paraId="10E5DC5D" w14:textId="0AE9A517" w:rsidR="0088511D" w:rsidRPr="00FC5B6A" w:rsidRDefault="0088511D" w:rsidP="000C325D">
      <w:pPr>
        <w:spacing w:after="0" w:line="240" w:lineRule="auto"/>
        <w:jc w:val="both"/>
        <w:rPr>
          <w:rFonts w:eastAsiaTheme="majorEastAsia" w:cstheme="minorHAnsi"/>
          <w:noProof/>
          <w:color w:val="000000" w:themeColor="text1"/>
        </w:rPr>
      </w:pPr>
      <w:r w:rsidRPr="00FC5B6A">
        <w:rPr>
          <w:rFonts w:eastAsiaTheme="majorEastAsia" w:cstheme="minorHAnsi"/>
          <w:noProof/>
          <w:color w:val="000000" w:themeColor="text1"/>
        </w:rPr>
        <w:t>En el caso de la amenaza, se propone un manejo similar al dado a la oferta de SS.EE, otorgando mayores pesos a las amenazan más recurrentes, o potencialmente severas para la prestación de SS.EE de relevancia local, y no simplemente a los lugares donde mayor número de amenazas concurran. De esta manera, al ponderar las respuestas se podrán identificar las áreas de cada munucipio de amenaza Alta, Media y Baja (</w:t>
      </w:r>
      <w:r w:rsidR="00B820C8" w:rsidRPr="00FC5B6A">
        <w:rPr>
          <w:rFonts w:eastAsiaTheme="majorEastAsia" w:cstheme="minorHAnsi"/>
          <w:noProof/>
          <w:color w:val="FF0000"/>
        </w:rPr>
        <w:fldChar w:fldCharType="begin"/>
      </w:r>
      <w:r w:rsidR="00B820C8" w:rsidRPr="00FC5B6A">
        <w:rPr>
          <w:rFonts w:eastAsiaTheme="majorEastAsia" w:cstheme="minorHAnsi"/>
          <w:noProof/>
          <w:color w:val="000000" w:themeColor="text1"/>
        </w:rPr>
        <w:instrText xml:space="preserve"> REF _Ref167532909 \h </w:instrText>
      </w:r>
      <w:r w:rsidR="006E0C08" w:rsidRPr="00FC5B6A">
        <w:rPr>
          <w:rFonts w:eastAsiaTheme="majorEastAsia" w:cstheme="minorHAnsi"/>
          <w:noProof/>
          <w:color w:val="FF0000"/>
        </w:rPr>
        <w:instrText xml:space="preserve"> \* MERGEFORMAT </w:instrText>
      </w:r>
      <w:r w:rsidR="00B820C8" w:rsidRPr="00FC5B6A">
        <w:rPr>
          <w:rFonts w:eastAsiaTheme="majorEastAsia" w:cstheme="minorHAnsi"/>
          <w:noProof/>
          <w:color w:val="FF0000"/>
        </w:rPr>
      </w:r>
      <w:r w:rsidR="00B820C8" w:rsidRPr="00FC5B6A">
        <w:rPr>
          <w:rFonts w:eastAsiaTheme="majorEastAsia" w:cstheme="minorHAnsi"/>
          <w:noProof/>
          <w:color w:val="FF0000"/>
        </w:rPr>
        <w:fldChar w:fldCharType="separate"/>
      </w:r>
      <w:r w:rsidR="00E74A31" w:rsidRPr="00FC5B6A">
        <w:rPr>
          <w:rFonts w:cstheme="minorHAnsi"/>
        </w:rPr>
        <w:t xml:space="preserve">Tabla </w:t>
      </w:r>
      <w:r w:rsidR="00E74A31" w:rsidRPr="00FC5B6A">
        <w:rPr>
          <w:rFonts w:cstheme="minorHAnsi"/>
          <w:noProof/>
        </w:rPr>
        <w:t>6</w:t>
      </w:r>
      <w:r w:rsidR="00B820C8" w:rsidRPr="00FC5B6A">
        <w:rPr>
          <w:rFonts w:eastAsiaTheme="majorEastAsia" w:cstheme="minorHAnsi"/>
          <w:noProof/>
          <w:color w:val="FF0000"/>
        </w:rPr>
        <w:fldChar w:fldCharType="end"/>
      </w:r>
      <w:r w:rsidRPr="00FC5B6A">
        <w:rPr>
          <w:rFonts w:eastAsiaTheme="majorEastAsia" w:cstheme="minorHAnsi"/>
          <w:noProof/>
          <w:color w:val="000000" w:themeColor="text1"/>
        </w:rPr>
        <w:t>).</w:t>
      </w:r>
    </w:p>
    <w:p w14:paraId="5D43A284" w14:textId="77777777" w:rsidR="0088511D" w:rsidRPr="00FC5B6A" w:rsidRDefault="0088511D" w:rsidP="000C325D">
      <w:pPr>
        <w:spacing w:after="0" w:line="240" w:lineRule="auto"/>
        <w:jc w:val="both"/>
        <w:rPr>
          <w:rFonts w:eastAsiaTheme="majorEastAsia" w:cstheme="minorHAnsi"/>
          <w:noProof/>
          <w:color w:val="000000" w:themeColor="text1"/>
        </w:rPr>
      </w:pPr>
    </w:p>
    <w:p w14:paraId="06BE8DC7" w14:textId="68DEE0B0" w:rsidR="0088511D" w:rsidRPr="00FC5B6A" w:rsidRDefault="0088511D" w:rsidP="000C325D">
      <w:pPr>
        <w:spacing w:after="0" w:line="240" w:lineRule="auto"/>
        <w:jc w:val="both"/>
        <w:rPr>
          <w:rFonts w:eastAsiaTheme="majorEastAsia" w:cstheme="minorHAnsi"/>
          <w:noProof/>
          <w:color w:val="000000" w:themeColor="text1"/>
        </w:rPr>
      </w:pPr>
      <w:r w:rsidRPr="00FC5B6A">
        <w:rPr>
          <w:rFonts w:eastAsiaTheme="majorEastAsia" w:cstheme="minorHAnsi"/>
          <w:noProof/>
          <w:color w:val="000000" w:themeColor="text1"/>
        </w:rPr>
        <w:t>Finalmente, para la demanda (espacialmente relacionada con el recurso hídrico), la categorización de áreas se hará de acuerdo con los lugares donde se pueda identificar mayor o menor demanda asociada a concentración poblacional (proyectada a partir de la población actual) (</w:t>
      </w:r>
      <w:r w:rsidR="00B820C8" w:rsidRPr="00FC5B6A">
        <w:rPr>
          <w:rFonts w:eastAsiaTheme="majorEastAsia" w:cstheme="minorHAnsi"/>
          <w:noProof/>
          <w:color w:val="FF0000"/>
        </w:rPr>
        <w:fldChar w:fldCharType="begin"/>
      </w:r>
      <w:r w:rsidR="00B820C8" w:rsidRPr="00FC5B6A">
        <w:rPr>
          <w:rFonts w:eastAsiaTheme="majorEastAsia" w:cstheme="minorHAnsi"/>
          <w:noProof/>
          <w:color w:val="000000" w:themeColor="text1"/>
        </w:rPr>
        <w:instrText xml:space="preserve"> REF _Ref167532909 \h </w:instrText>
      </w:r>
      <w:r w:rsidR="006E0C08" w:rsidRPr="00FC5B6A">
        <w:rPr>
          <w:rFonts w:eastAsiaTheme="majorEastAsia" w:cstheme="minorHAnsi"/>
          <w:noProof/>
          <w:color w:val="FF0000"/>
        </w:rPr>
        <w:instrText xml:space="preserve"> \* MERGEFORMAT </w:instrText>
      </w:r>
      <w:r w:rsidR="00B820C8" w:rsidRPr="00FC5B6A">
        <w:rPr>
          <w:rFonts w:eastAsiaTheme="majorEastAsia" w:cstheme="minorHAnsi"/>
          <w:noProof/>
          <w:color w:val="FF0000"/>
        </w:rPr>
      </w:r>
      <w:r w:rsidR="00B820C8" w:rsidRPr="00FC5B6A">
        <w:rPr>
          <w:rFonts w:eastAsiaTheme="majorEastAsia" w:cstheme="minorHAnsi"/>
          <w:noProof/>
          <w:color w:val="FF0000"/>
        </w:rPr>
        <w:fldChar w:fldCharType="separate"/>
      </w:r>
      <w:r w:rsidR="00E74A31" w:rsidRPr="00FC5B6A">
        <w:rPr>
          <w:rFonts w:cstheme="minorHAnsi"/>
        </w:rPr>
        <w:t xml:space="preserve">Tabla </w:t>
      </w:r>
      <w:r w:rsidR="00E74A31" w:rsidRPr="00FC5B6A">
        <w:rPr>
          <w:rFonts w:cstheme="minorHAnsi"/>
          <w:noProof/>
        </w:rPr>
        <w:t>6</w:t>
      </w:r>
      <w:r w:rsidR="00B820C8" w:rsidRPr="00FC5B6A">
        <w:rPr>
          <w:rFonts w:eastAsiaTheme="majorEastAsia" w:cstheme="minorHAnsi"/>
          <w:noProof/>
          <w:color w:val="FF0000"/>
        </w:rPr>
        <w:fldChar w:fldCharType="end"/>
      </w:r>
      <w:r w:rsidRPr="00FC5B6A">
        <w:rPr>
          <w:rFonts w:eastAsiaTheme="majorEastAsia" w:cstheme="minorHAnsi"/>
          <w:noProof/>
          <w:color w:val="000000" w:themeColor="text1"/>
        </w:rPr>
        <w:t>).</w:t>
      </w:r>
    </w:p>
    <w:p w14:paraId="6C786F3A" w14:textId="77777777" w:rsidR="0088511D" w:rsidRDefault="0088511D" w:rsidP="0088511D">
      <w:pPr>
        <w:spacing w:after="0" w:line="276" w:lineRule="auto"/>
        <w:jc w:val="both"/>
        <w:rPr>
          <w:rFonts w:eastAsiaTheme="majorEastAsia" w:cstheme="minorHAnsi"/>
          <w:noProof/>
          <w:color w:val="000000" w:themeColor="text1"/>
        </w:rPr>
      </w:pPr>
    </w:p>
    <w:p w14:paraId="08A74D56" w14:textId="77777777" w:rsidR="000C325D" w:rsidRPr="00FC5B6A" w:rsidRDefault="000C325D" w:rsidP="0088511D">
      <w:pPr>
        <w:spacing w:after="0" w:line="276" w:lineRule="auto"/>
        <w:jc w:val="both"/>
        <w:rPr>
          <w:rFonts w:eastAsiaTheme="majorEastAsia" w:cstheme="minorHAnsi"/>
          <w:noProof/>
          <w:color w:val="000000" w:themeColor="text1"/>
        </w:rPr>
      </w:pPr>
    </w:p>
    <w:p w14:paraId="634FF4FC" w14:textId="6B81EBAD" w:rsidR="0088511D" w:rsidRPr="000C325D" w:rsidRDefault="00B820C8" w:rsidP="000C325D">
      <w:pPr>
        <w:pStyle w:val="FIGYTAB"/>
      </w:pPr>
      <w:bookmarkStart w:id="77" w:name="_Ref167532909"/>
      <w:bookmarkStart w:id="78" w:name="_Toc478482920"/>
      <w:bookmarkStart w:id="79" w:name="_Toc170124920"/>
      <w:r w:rsidRPr="000C325D">
        <w:t xml:space="preserve">Tabla </w:t>
      </w:r>
      <w:r>
        <w:fldChar w:fldCharType="begin"/>
      </w:r>
      <w:r>
        <w:instrText>SEQ Tabla \* ARABIC</w:instrText>
      </w:r>
      <w:r>
        <w:fldChar w:fldCharType="separate"/>
      </w:r>
      <w:r w:rsidR="000C325D" w:rsidRPr="000C325D">
        <w:t>8</w:t>
      </w:r>
      <w:r>
        <w:fldChar w:fldCharType="end"/>
      </w:r>
      <w:bookmarkEnd w:id="77"/>
      <w:r w:rsidRPr="000C325D">
        <w:t xml:space="preserve"> </w:t>
      </w:r>
      <w:r w:rsidR="0088511D" w:rsidRPr="000C325D">
        <w:t xml:space="preserve"> (a) Principales dinámicas socio ambientales (Presiones Antrópicas = Amenazas + Demanda) </w:t>
      </w:r>
      <w:bookmarkEnd w:id="78"/>
      <w:r w:rsidR="0088511D" w:rsidRPr="000C325D">
        <w:t xml:space="preserve">(b) Dinámicas Socioambientales priorizadas y los pesos </w:t>
      </w:r>
      <w:r w:rsidR="00755617" w:rsidRPr="000C325D">
        <w:t>por unidad</w:t>
      </w:r>
      <w:bookmarkEnd w:id="79"/>
    </w:p>
    <w:tbl>
      <w:tblPr>
        <w:tblStyle w:val="Tablaconcuadrcula6concolores-nfasis1"/>
        <w:tblW w:w="8828" w:type="dxa"/>
        <w:jc w:val="center"/>
        <w:tblLook w:val="04A0" w:firstRow="1" w:lastRow="0" w:firstColumn="1" w:lastColumn="0" w:noHBand="0" w:noVBand="1"/>
      </w:tblPr>
      <w:tblGrid>
        <w:gridCol w:w="1229"/>
        <w:gridCol w:w="3455"/>
        <w:gridCol w:w="1558"/>
        <w:gridCol w:w="880"/>
        <w:gridCol w:w="1706"/>
      </w:tblGrid>
      <w:tr w:rsidR="0088511D" w:rsidRPr="00FC5B6A" w14:paraId="10F01403" w14:textId="77777777" w:rsidTr="00755617">
        <w:trPr>
          <w:cnfStyle w:val="100000000000" w:firstRow="1" w:lastRow="0" w:firstColumn="0" w:lastColumn="0" w:oddVBand="0" w:evenVBand="0" w:oddHBand="0" w:evenHBand="0" w:firstRowFirstColumn="0" w:firstRowLastColumn="0" w:lastRowFirstColumn="0" w:lastRowLastColumn="0"/>
          <w:trHeight w:val="420"/>
          <w:jc w:val="center"/>
        </w:trPr>
        <w:tc>
          <w:tcPr>
            <w:cnfStyle w:val="001000000000" w:firstRow="0" w:lastRow="0" w:firstColumn="1" w:lastColumn="0" w:oddVBand="0" w:evenVBand="0" w:oddHBand="0" w:evenHBand="0" w:firstRowFirstColumn="0" w:firstRowLastColumn="0" w:lastRowFirstColumn="0" w:lastRowLastColumn="0"/>
            <w:tcW w:w="8828" w:type="dxa"/>
            <w:gridSpan w:val="5"/>
            <w:noWrap/>
            <w:hideMark/>
          </w:tcPr>
          <w:p w14:paraId="0D765D90" w14:textId="77777777" w:rsidR="0088511D" w:rsidRPr="00FC5B6A" w:rsidRDefault="0088511D" w:rsidP="00B820C8">
            <w:pPr>
              <w:keepNext/>
              <w:jc w:val="center"/>
              <w:rPr>
                <w:rFonts w:eastAsia="Times New Roman" w:cstheme="minorHAnsi"/>
                <w:b w:val="0"/>
                <w:bCs w:val="0"/>
                <w:color w:val="000000" w:themeColor="text1"/>
                <w:sz w:val="22"/>
                <w:szCs w:val="22"/>
                <w:lang w:eastAsia="es-CO"/>
              </w:rPr>
            </w:pPr>
            <w:proofErr w:type="spellStart"/>
            <w:r w:rsidRPr="00FC5B6A">
              <w:rPr>
                <w:rFonts w:eastAsia="Times New Roman" w:cstheme="minorHAnsi"/>
                <w:color w:val="000000" w:themeColor="text1"/>
                <w:sz w:val="22"/>
                <w:szCs w:val="22"/>
                <w:lang w:eastAsia="es-CO"/>
              </w:rPr>
              <w:lastRenderedPageBreak/>
              <w:t>Dinámicas</w:t>
            </w:r>
            <w:proofErr w:type="spellEnd"/>
            <w:r w:rsidRPr="00FC5B6A">
              <w:rPr>
                <w:rFonts w:eastAsia="Times New Roman" w:cstheme="minorHAnsi"/>
                <w:color w:val="000000" w:themeColor="text1"/>
                <w:sz w:val="22"/>
                <w:szCs w:val="22"/>
                <w:lang w:eastAsia="es-CO"/>
              </w:rPr>
              <w:t xml:space="preserve"> Socio-</w:t>
            </w:r>
            <w:proofErr w:type="spellStart"/>
            <w:r w:rsidRPr="00FC5B6A">
              <w:rPr>
                <w:rFonts w:eastAsia="Times New Roman" w:cstheme="minorHAnsi"/>
                <w:color w:val="000000" w:themeColor="text1"/>
                <w:sz w:val="22"/>
                <w:szCs w:val="22"/>
                <w:lang w:eastAsia="es-CO"/>
              </w:rPr>
              <w:t>ambientales</w:t>
            </w:r>
            <w:proofErr w:type="spellEnd"/>
          </w:p>
        </w:tc>
      </w:tr>
      <w:tr w:rsidR="0088511D" w:rsidRPr="00FC5B6A" w14:paraId="3E57129D" w14:textId="77777777" w:rsidTr="00755617">
        <w:trPr>
          <w:cnfStyle w:val="000000100000" w:firstRow="0" w:lastRow="0" w:firstColumn="0" w:lastColumn="0" w:oddVBand="0" w:evenVBand="0" w:oddHBand="1" w:evenHBand="0" w:firstRowFirstColumn="0" w:firstRowLastColumn="0" w:lastRowFirstColumn="0" w:lastRowLastColumn="0"/>
          <w:trHeight w:val="636"/>
          <w:jc w:val="center"/>
        </w:trPr>
        <w:tc>
          <w:tcPr>
            <w:cnfStyle w:val="001000000000" w:firstRow="0" w:lastRow="0" w:firstColumn="1" w:lastColumn="0" w:oddVBand="0" w:evenVBand="0" w:oddHBand="0" w:evenHBand="0" w:firstRowFirstColumn="0" w:firstRowLastColumn="0" w:lastRowFirstColumn="0" w:lastRowLastColumn="0"/>
            <w:tcW w:w="1229" w:type="dxa"/>
            <w:noWrap/>
            <w:hideMark/>
          </w:tcPr>
          <w:p w14:paraId="653C817E" w14:textId="77777777" w:rsidR="0088511D" w:rsidRPr="00FC5B6A" w:rsidRDefault="0088511D" w:rsidP="00B820C8">
            <w:pPr>
              <w:keepNext/>
              <w:rPr>
                <w:rFonts w:eastAsia="Times New Roman" w:cstheme="minorHAnsi"/>
                <w:b w:val="0"/>
                <w:bCs w:val="0"/>
                <w:color w:val="000000" w:themeColor="text1"/>
                <w:sz w:val="22"/>
                <w:szCs w:val="22"/>
                <w:lang w:eastAsia="es-CO"/>
              </w:rPr>
            </w:pPr>
            <w:proofErr w:type="spellStart"/>
            <w:r w:rsidRPr="00FC5B6A">
              <w:rPr>
                <w:rFonts w:eastAsia="Times New Roman" w:cstheme="minorHAnsi"/>
                <w:color w:val="000000" w:themeColor="text1"/>
                <w:sz w:val="22"/>
                <w:szCs w:val="22"/>
                <w:lang w:eastAsia="es-CO"/>
              </w:rPr>
              <w:t>Categoría</w:t>
            </w:r>
            <w:proofErr w:type="spellEnd"/>
          </w:p>
        </w:tc>
        <w:tc>
          <w:tcPr>
            <w:tcW w:w="3455" w:type="dxa"/>
            <w:noWrap/>
            <w:hideMark/>
          </w:tcPr>
          <w:p w14:paraId="5D40A6C6" w14:textId="77777777" w:rsidR="0088511D" w:rsidRPr="00FC5B6A" w:rsidRDefault="0088511D"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22"/>
                <w:szCs w:val="22"/>
                <w:lang w:eastAsia="es-CO"/>
              </w:rPr>
            </w:pPr>
            <w:proofErr w:type="spellStart"/>
            <w:r w:rsidRPr="00FC5B6A">
              <w:rPr>
                <w:rFonts w:eastAsia="Times New Roman" w:cstheme="minorHAnsi"/>
                <w:b/>
                <w:bCs/>
                <w:color w:val="000000" w:themeColor="text1"/>
                <w:sz w:val="22"/>
                <w:szCs w:val="22"/>
                <w:lang w:eastAsia="es-CO"/>
              </w:rPr>
              <w:t>Dinámica</w:t>
            </w:r>
            <w:proofErr w:type="spellEnd"/>
          </w:p>
        </w:tc>
        <w:tc>
          <w:tcPr>
            <w:tcW w:w="1558" w:type="dxa"/>
            <w:hideMark/>
          </w:tcPr>
          <w:p w14:paraId="144AD844" w14:textId="77777777" w:rsidR="0088511D" w:rsidRPr="00FC5B6A" w:rsidRDefault="0088511D" w:rsidP="00B820C8">
            <w:pPr>
              <w:keepNext/>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22"/>
                <w:szCs w:val="22"/>
                <w:lang w:eastAsia="es-CO"/>
              </w:rPr>
            </w:pPr>
            <w:proofErr w:type="spellStart"/>
            <w:r w:rsidRPr="00FC5B6A">
              <w:rPr>
                <w:rFonts w:eastAsia="Times New Roman" w:cstheme="minorHAnsi"/>
                <w:b/>
                <w:bCs/>
                <w:color w:val="000000" w:themeColor="text1"/>
                <w:sz w:val="22"/>
                <w:szCs w:val="22"/>
                <w:lang w:eastAsia="es-CO"/>
              </w:rPr>
              <w:t>Fecha</w:t>
            </w:r>
            <w:proofErr w:type="spellEnd"/>
            <w:r w:rsidRPr="00FC5B6A">
              <w:rPr>
                <w:rFonts w:eastAsia="Times New Roman" w:cstheme="minorHAnsi"/>
                <w:b/>
                <w:bCs/>
                <w:color w:val="000000" w:themeColor="text1"/>
                <w:sz w:val="22"/>
                <w:szCs w:val="22"/>
                <w:lang w:eastAsia="es-CO"/>
              </w:rPr>
              <w:t xml:space="preserve"> de la </w:t>
            </w:r>
            <w:proofErr w:type="spellStart"/>
            <w:r w:rsidRPr="00FC5B6A">
              <w:rPr>
                <w:rFonts w:eastAsia="Times New Roman" w:cstheme="minorHAnsi"/>
                <w:b/>
                <w:bCs/>
                <w:color w:val="000000" w:themeColor="text1"/>
                <w:sz w:val="22"/>
                <w:szCs w:val="22"/>
                <w:lang w:eastAsia="es-CO"/>
              </w:rPr>
              <w:t>Información</w:t>
            </w:r>
            <w:proofErr w:type="spellEnd"/>
            <w:r w:rsidRPr="00FC5B6A">
              <w:rPr>
                <w:rFonts w:eastAsia="Times New Roman" w:cstheme="minorHAnsi"/>
                <w:b/>
                <w:bCs/>
                <w:color w:val="000000" w:themeColor="text1"/>
                <w:sz w:val="22"/>
                <w:szCs w:val="22"/>
                <w:lang w:eastAsia="es-CO"/>
              </w:rPr>
              <w:t xml:space="preserve"> </w:t>
            </w:r>
          </w:p>
        </w:tc>
        <w:tc>
          <w:tcPr>
            <w:tcW w:w="880" w:type="dxa"/>
            <w:noWrap/>
            <w:hideMark/>
          </w:tcPr>
          <w:p w14:paraId="1657767B" w14:textId="77777777" w:rsidR="0088511D" w:rsidRPr="00FC5B6A" w:rsidRDefault="0088511D" w:rsidP="00B820C8">
            <w:pPr>
              <w:keepNext/>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22"/>
                <w:szCs w:val="22"/>
                <w:lang w:eastAsia="es-CO"/>
              </w:rPr>
            </w:pPr>
            <w:r w:rsidRPr="00FC5B6A">
              <w:rPr>
                <w:rFonts w:eastAsia="Times New Roman" w:cstheme="minorHAnsi"/>
                <w:b/>
                <w:bCs/>
                <w:color w:val="000000" w:themeColor="text1"/>
                <w:sz w:val="22"/>
                <w:szCs w:val="22"/>
                <w:lang w:eastAsia="es-CO"/>
              </w:rPr>
              <w:t>Fuente</w:t>
            </w:r>
          </w:p>
        </w:tc>
        <w:tc>
          <w:tcPr>
            <w:tcW w:w="1706" w:type="dxa"/>
            <w:hideMark/>
          </w:tcPr>
          <w:p w14:paraId="346914FE" w14:textId="77777777" w:rsidR="0088511D" w:rsidRPr="00FC5B6A" w:rsidRDefault="0088511D" w:rsidP="00B820C8">
            <w:pPr>
              <w:keepNext/>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themeColor="text1"/>
                <w:sz w:val="22"/>
                <w:szCs w:val="22"/>
                <w:lang w:eastAsia="es-CO"/>
              </w:rPr>
            </w:pPr>
            <w:proofErr w:type="spellStart"/>
            <w:r w:rsidRPr="00FC5B6A">
              <w:rPr>
                <w:rFonts w:eastAsia="Times New Roman" w:cstheme="minorHAnsi"/>
                <w:b/>
                <w:bCs/>
                <w:color w:val="000000" w:themeColor="text1"/>
                <w:sz w:val="22"/>
                <w:szCs w:val="22"/>
                <w:lang w:eastAsia="es-CO"/>
              </w:rPr>
              <w:t>Entidad</w:t>
            </w:r>
            <w:proofErr w:type="spellEnd"/>
            <w:r w:rsidRPr="00FC5B6A">
              <w:rPr>
                <w:rFonts w:eastAsia="Times New Roman" w:cstheme="minorHAnsi"/>
                <w:b/>
                <w:bCs/>
                <w:color w:val="000000" w:themeColor="text1"/>
                <w:sz w:val="22"/>
                <w:szCs w:val="22"/>
                <w:lang w:eastAsia="es-CO"/>
              </w:rPr>
              <w:t xml:space="preserve"> de </w:t>
            </w:r>
            <w:proofErr w:type="spellStart"/>
            <w:r w:rsidRPr="00FC5B6A">
              <w:rPr>
                <w:rFonts w:eastAsia="Times New Roman" w:cstheme="minorHAnsi"/>
                <w:b/>
                <w:bCs/>
                <w:color w:val="000000" w:themeColor="text1"/>
                <w:sz w:val="22"/>
                <w:szCs w:val="22"/>
                <w:lang w:eastAsia="es-CO"/>
              </w:rPr>
              <w:t>Elaboración</w:t>
            </w:r>
            <w:proofErr w:type="spellEnd"/>
            <w:r w:rsidRPr="00FC5B6A">
              <w:rPr>
                <w:rFonts w:eastAsia="Times New Roman" w:cstheme="minorHAnsi"/>
                <w:b/>
                <w:bCs/>
                <w:color w:val="000000" w:themeColor="text1"/>
                <w:sz w:val="22"/>
                <w:szCs w:val="22"/>
                <w:lang w:eastAsia="es-CO"/>
              </w:rPr>
              <w:t xml:space="preserve"> </w:t>
            </w:r>
          </w:p>
        </w:tc>
      </w:tr>
      <w:tr w:rsidR="00755617" w:rsidRPr="00FC5B6A" w14:paraId="361FA065" w14:textId="77777777" w:rsidTr="00755617">
        <w:trPr>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val="restart"/>
            <w:noWrap/>
            <w:hideMark/>
          </w:tcPr>
          <w:p w14:paraId="2D71EFAC" w14:textId="77777777" w:rsidR="00755617" w:rsidRPr="00FC5B6A" w:rsidRDefault="00755617" w:rsidP="00B820C8">
            <w:pPr>
              <w:keepNext/>
              <w:jc w:val="center"/>
              <w:rPr>
                <w:rFonts w:eastAsia="Times New Roman" w:cstheme="minorHAnsi"/>
                <w:b w:val="0"/>
                <w:bCs w:val="0"/>
                <w:color w:val="000000" w:themeColor="text1"/>
                <w:sz w:val="22"/>
                <w:szCs w:val="22"/>
                <w:lang w:eastAsia="es-CO"/>
              </w:rPr>
            </w:pPr>
            <w:r w:rsidRPr="00FC5B6A">
              <w:rPr>
                <w:rFonts w:eastAsia="Times New Roman" w:cstheme="minorHAnsi"/>
                <w:color w:val="000000" w:themeColor="text1"/>
                <w:sz w:val="22"/>
                <w:szCs w:val="22"/>
                <w:lang w:eastAsia="es-CO"/>
              </w:rPr>
              <w:t xml:space="preserve">DEMANDA </w:t>
            </w:r>
          </w:p>
        </w:tc>
        <w:tc>
          <w:tcPr>
            <w:tcW w:w="3455" w:type="dxa"/>
            <w:noWrap/>
            <w:hideMark/>
          </w:tcPr>
          <w:p w14:paraId="07045CC6" w14:textId="77777777" w:rsidR="00755617" w:rsidRPr="00FC5B6A" w:rsidRDefault="00755617"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proofErr w:type="spellStart"/>
            <w:r w:rsidRPr="00FC5B6A">
              <w:rPr>
                <w:rFonts w:eastAsia="Times New Roman" w:cstheme="minorHAnsi"/>
                <w:color w:val="000000" w:themeColor="text1"/>
                <w:sz w:val="22"/>
                <w:szCs w:val="22"/>
                <w:lang w:eastAsia="es-CO"/>
              </w:rPr>
              <w:t>Demanda</w:t>
            </w:r>
            <w:proofErr w:type="spellEnd"/>
            <w:r w:rsidRPr="00FC5B6A">
              <w:rPr>
                <w:rFonts w:eastAsia="Times New Roman" w:cstheme="minorHAnsi"/>
                <w:color w:val="000000" w:themeColor="text1"/>
                <w:sz w:val="22"/>
                <w:szCs w:val="22"/>
                <w:lang w:eastAsia="es-CO"/>
              </w:rPr>
              <w:t xml:space="preserve"> </w:t>
            </w:r>
            <w:proofErr w:type="spellStart"/>
            <w:r w:rsidRPr="00FC5B6A">
              <w:rPr>
                <w:rFonts w:eastAsia="Times New Roman" w:cstheme="minorHAnsi"/>
                <w:color w:val="000000" w:themeColor="text1"/>
                <w:sz w:val="22"/>
                <w:szCs w:val="22"/>
                <w:lang w:eastAsia="es-CO"/>
              </w:rPr>
              <w:t>Hídrica</w:t>
            </w:r>
            <w:proofErr w:type="spellEnd"/>
            <w:r w:rsidRPr="00FC5B6A">
              <w:rPr>
                <w:rFonts w:eastAsia="Times New Roman" w:cstheme="minorHAnsi"/>
                <w:color w:val="000000" w:themeColor="text1"/>
                <w:sz w:val="22"/>
                <w:szCs w:val="22"/>
                <w:lang w:eastAsia="es-CO"/>
              </w:rPr>
              <w:t xml:space="preserve"> Total</w:t>
            </w:r>
          </w:p>
        </w:tc>
        <w:tc>
          <w:tcPr>
            <w:tcW w:w="1558" w:type="dxa"/>
            <w:noWrap/>
            <w:hideMark/>
          </w:tcPr>
          <w:p w14:paraId="4D67CFC0" w14:textId="77777777" w:rsidR="00755617" w:rsidRPr="00FC5B6A" w:rsidRDefault="00755617" w:rsidP="00B820C8">
            <w:pPr>
              <w:keepNext/>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2014-2018</w:t>
            </w:r>
          </w:p>
        </w:tc>
        <w:tc>
          <w:tcPr>
            <w:tcW w:w="880" w:type="dxa"/>
            <w:noWrap/>
            <w:hideMark/>
          </w:tcPr>
          <w:p w14:paraId="2299DEF4" w14:textId="77777777" w:rsidR="00755617" w:rsidRPr="00FC5B6A" w:rsidRDefault="00755617"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SIAC</w:t>
            </w:r>
          </w:p>
        </w:tc>
        <w:tc>
          <w:tcPr>
            <w:tcW w:w="1706" w:type="dxa"/>
            <w:noWrap/>
            <w:hideMark/>
          </w:tcPr>
          <w:p w14:paraId="040B0731" w14:textId="77777777" w:rsidR="00755617" w:rsidRPr="00FC5B6A" w:rsidRDefault="00755617"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w:t>
            </w:r>
          </w:p>
        </w:tc>
      </w:tr>
      <w:tr w:rsidR="00755617" w:rsidRPr="00FC5B6A" w14:paraId="2DDC79C6" w14:textId="77777777" w:rsidTr="00755617">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229" w:type="dxa"/>
            <w:vMerge/>
            <w:hideMark/>
          </w:tcPr>
          <w:p w14:paraId="76590201" w14:textId="77777777" w:rsidR="00755617" w:rsidRPr="00FC5B6A" w:rsidRDefault="00755617" w:rsidP="00B820C8">
            <w:pPr>
              <w:keepNext/>
              <w:rPr>
                <w:rFonts w:eastAsia="Times New Roman" w:cstheme="minorHAnsi"/>
                <w:b w:val="0"/>
                <w:bCs w:val="0"/>
                <w:color w:val="000000" w:themeColor="text1"/>
                <w:sz w:val="22"/>
                <w:szCs w:val="22"/>
                <w:lang w:eastAsia="es-CO"/>
              </w:rPr>
            </w:pPr>
          </w:p>
        </w:tc>
        <w:tc>
          <w:tcPr>
            <w:tcW w:w="3455" w:type="dxa"/>
            <w:noWrap/>
            <w:hideMark/>
          </w:tcPr>
          <w:p w14:paraId="4FAECCDC" w14:textId="77777777" w:rsidR="00755617" w:rsidRPr="00FC5B6A" w:rsidRDefault="00755617"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Población Total 2018</w:t>
            </w:r>
          </w:p>
        </w:tc>
        <w:tc>
          <w:tcPr>
            <w:tcW w:w="1558" w:type="dxa"/>
            <w:noWrap/>
            <w:hideMark/>
          </w:tcPr>
          <w:p w14:paraId="7FF5EE5B" w14:textId="77777777" w:rsidR="00755617" w:rsidRPr="00FC5B6A" w:rsidRDefault="00755617" w:rsidP="00B820C8">
            <w:pPr>
              <w:keepNext/>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2018</w:t>
            </w:r>
          </w:p>
        </w:tc>
        <w:tc>
          <w:tcPr>
            <w:tcW w:w="880" w:type="dxa"/>
            <w:noWrap/>
            <w:hideMark/>
          </w:tcPr>
          <w:p w14:paraId="18C6227B" w14:textId="77777777" w:rsidR="00755617" w:rsidRPr="00FC5B6A" w:rsidRDefault="00755617"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SIGOT</w:t>
            </w:r>
          </w:p>
        </w:tc>
        <w:tc>
          <w:tcPr>
            <w:tcW w:w="1706" w:type="dxa"/>
            <w:noWrap/>
            <w:hideMark/>
          </w:tcPr>
          <w:p w14:paraId="04258142" w14:textId="77777777" w:rsidR="00755617" w:rsidRPr="00FC5B6A" w:rsidRDefault="00755617"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DANE</w:t>
            </w:r>
          </w:p>
        </w:tc>
      </w:tr>
      <w:tr w:rsidR="00755617" w:rsidRPr="00FC5B6A" w14:paraId="6DEF63F0" w14:textId="77777777" w:rsidTr="00755617">
        <w:trPr>
          <w:trHeight w:val="300"/>
          <w:jc w:val="center"/>
        </w:trPr>
        <w:tc>
          <w:tcPr>
            <w:cnfStyle w:val="001000000000" w:firstRow="0" w:lastRow="0" w:firstColumn="1" w:lastColumn="0" w:oddVBand="0" w:evenVBand="0" w:oddHBand="0" w:evenHBand="0" w:firstRowFirstColumn="0" w:firstRowLastColumn="0" w:lastRowFirstColumn="0" w:lastRowLastColumn="0"/>
            <w:tcW w:w="1229" w:type="dxa"/>
            <w:vMerge/>
          </w:tcPr>
          <w:p w14:paraId="66AC96AF" w14:textId="77777777" w:rsidR="00755617" w:rsidRPr="00FC5B6A" w:rsidRDefault="00755617" w:rsidP="00B820C8">
            <w:pPr>
              <w:keepNext/>
              <w:rPr>
                <w:rFonts w:eastAsia="Times New Roman" w:cstheme="minorHAnsi"/>
                <w:b w:val="0"/>
                <w:bCs w:val="0"/>
                <w:color w:val="000000" w:themeColor="text1"/>
                <w:lang w:eastAsia="es-CO"/>
              </w:rPr>
            </w:pPr>
          </w:p>
        </w:tc>
        <w:tc>
          <w:tcPr>
            <w:tcW w:w="3455" w:type="dxa"/>
            <w:noWrap/>
          </w:tcPr>
          <w:p w14:paraId="061DA19A" w14:textId="252A2F31" w:rsidR="00755617" w:rsidRPr="00FC5B6A" w:rsidRDefault="00755617"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val="es-CO" w:eastAsia="es-CO"/>
              </w:rPr>
            </w:pPr>
            <w:r w:rsidRPr="00FC5B6A">
              <w:rPr>
                <w:rFonts w:eastAsia="Times New Roman" w:cstheme="minorHAnsi"/>
                <w:color w:val="000000" w:themeColor="text1"/>
                <w:sz w:val="22"/>
                <w:szCs w:val="22"/>
                <w:lang w:val="es-CO" w:eastAsia="es-CO"/>
              </w:rPr>
              <w:t>Índice de Huella Espacial Humana</w:t>
            </w:r>
          </w:p>
        </w:tc>
        <w:tc>
          <w:tcPr>
            <w:tcW w:w="1558" w:type="dxa"/>
            <w:noWrap/>
          </w:tcPr>
          <w:p w14:paraId="39CD453F" w14:textId="3D66FFC3" w:rsidR="00755617" w:rsidRPr="00FC5B6A" w:rsidRDefault="00755617" w:rsidP="00B820C8">
            <w:pPr>
              <w:keepNext/>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2019</w:t>
            </w:r>
          </w:p>
        </w:tc>
        <w:tc>
          <w:tcPr>
            <w:tcW w:w="880" w:type="dxa"/>
            <w:noWrap/>
          </w:tcPr>
          <w:p w14:paraId="12E6537D" w14:textId="6864274B" w:rsidR="00755617" w:rsidRPr="00FC5B6A" w:rsidRDefault="00755617"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eastAsia="es-CO"/>
              </w:rPr>
            </w:pPr>
            <w:proofErr w:type="spellStart"/>
            <w:r w:rsidRPr="00FC5B6A">
              <w:rPr>
                <w:rFonts w:eastAsia="Times New Roman" w:cstheme="minorHAnsi"/>
                <w:color w:val="000000" w:themeColor="text1"/>
                <w:lang w:eastAsia="es-CO"/>
              </w:rPr>
              <w:t>IAvH</w:t>
            </w:r>
            <w:proofErr w:type="spellEnd"/>
          </w:p>
        </w:tc>
        <w:tc>
          <w:tcPr>
            <w:tcW w:w="1706" w:type="dxa"/>
            <w:noWrap/>
          </w:tcPr>
          <w:p w14:paraId="291D8E78" w14:textId="31EBF616" w:rsidR="00755617" w:rsidRPr="00FC5B6A" w:rsidRDefault="00755617"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eastAsia="es-CO"/>
              </w:rPr>
            </w:pPr>
            <w:proofErr w:type="spellStart"/>
            <w:r w:rsidRPr="00FC5B6A">
              <w:rPr>
                <w:rFonts w:eastAsia="Times New Roman" w:cstheme="minorHAnsi"/>
                <w:color w:val="000000" w:themeColor="text1"/>
                <w:lang w:eastAsia="es-CO"/>
              </w:rPr>
              <w:t>IAvH</w:t>
            </w:r>
            <w:proofErr w:type="spellEnd"/>
          </w:p>
        </w:tc>
      </w:tr>
      <w:tr w:rsidR="0088511D" w:rsidRPr="00FC5B6A" w14:paraId="57FDF28A" w14:textId="77777777" w:rsidTr="0075561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val="restart"/>
            <w:noWrap/>
            <w:hideMark/>
          </w:tcPr>
          <w:p w14:paraId="7E386EA0" w14:textId="77777777" w:rsidR="0088511D" w:rsidRPr="00FC5B6A" w:rsidRDefault="0088511D" w:rsidP="00B820C8">
            <w:pPr>
              <w:keepNext/>
              <w:jc w:val="center"/>
              <w:rPr>
                <w:rFonts w:eastAsia="Times New Roman" w:cstheme="minorHAnsi"/>
                <w:b w:val="0"/>
                <w:bCs w:val="0"/>
                <w:color w:val="000000" w:themeColor="text1"/>
                <w:sz w:val="22"/>
                <w:szCs w:val="22"/>
                <w:lang w:eastAsia="es-CO"/>
              </w:rPr>
            </w:pPr>
            <w:r w:rsidRPr="00FC5B6A">
              <w:rPr>
                <w:rFonts w:eastAsia="Times New Roman" w:cstheme="minorHAnsi"/>
                <w:color w:val="000000" w:themeColor="text1"/>
                <w:sz w:val="22"/>
                <w:szCs w:val="22"/>
                <w:lang w:eastAsia="es-CO"/>
              </w:rPr>
              <w:t>AMENZAS</w:t>
            </w:r>
          </w:p>
        </w:tc>
        <w:tc>
          <w:tcPr>
            <w:tcW w:w="3455" w:type="dxa"/>
            <w:noWrap/>
            <w:hideMark/>
          </w:tcPr>
          <w:p w14:paraId="55F8FE30" w14:textId="77777777" w:rsidR="0088511D" w:rsidRPr="00FC5B6A" w:rsidRDefault="0088511D"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proofErr w:type="spellStart"/>
            <w:r w:rsidRPr="00FC5B6A">
              <w:rPr>
                <w:rFonts w:eastAsia="Times New Roman" w:cstheme="minorHAnsi"/>
                <w:color w:val="000000" w:themeColor="text1"/>
                <w:sz w:val="22"/>
                <w:szCs w:val="22"/>
                <w:lang w:eastAsia="es-CO"/>
              </w:rPr>
              <w:t>Incendios</w:t>
            </w:r>
            <w:proofErr w:type="spellEnd"/>
            <w:r w:rsidRPr="00FC5B6A">
              <w:rPr>
                <w:rFonts w:eastAsia="Times New Roman" w:cstheme="minorHAnsi"/>
                <w:color w:val="000000" w:themeColor="text1"/>
                <w:sz w:val="22"/>
                <w:szCs w:val="22"/>
                <w:lang w:eastAsia="es-CO"/>
              </w:rPr>
              <w:t xml:space="preserve"> </w:t>
            </w:r>
            <w:proofErr w:type="spellStart"/>
            <w:r w:rsidRPr="00FC5B6A">
              <w:rPr>
                <w:rFonts w:eastAsia="Times New Roman" w:cstheme="minorHAnsi"/>
                <w:color w:val="000000" w:themeColor="text1"/>
                <w:sz w:val="22"/>
                <w:szCs w:val="22"/>
                <w:lang w:eastAsia="es-CO"/>
              </w:rPr>
              <w:t>Forestales</w:t>
            </w:r>
            <w:proofErr w:type="spellEnd"/>
            <w:r w:rsidRPr="00FC5B6A">
              <w:rPr>
                <w:rFonts w:eastAsia="Times New Roman" w:cstheme="minorHAnsi"/>
                <w:color w:val="000000" w:themeColor="text1"/>
                <w:sz w:val="22"/>
                <w:szCs w:val="22"/>
                <w:lang w:eastAsia="es-CO"/>
              </w:rPr>
              <w:t xml:space="preserve"> </w:t>
            </w:r>
          </w:p>
        </w:tc>
        <w:tc>
          <w:tcPr>
            <w:tcW w:w="1558" w:type="dxa"/>
            <w:noWrap/>
            <w:hideMark/>
          </w:tcPr>
          <w:p w14:paraId="4C3C6043" w14:textId="77777777" w:rsidR="0088511D" w:rsidRPr="00FC5B6A" w:rsidRDefault="0088511D" w:rsidP="00B820C8">
            <w:pPr>
              <w:keepNext/>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 2010</w:t>
            </w:r>
          </w:p>
        </w:tc>
        <w:tc>
          <w:tcPr>
            <w:tcW w:w="880" w:type="dxa"/>
            <w:noWrap/>
            <w:hideMark/>
          </w:tcPr>
          <w:p w14:paraId="4345C89A" w14:textId="77777777" w:rsidR="0088511D" w:rsidRPr="00FC5B6A" w:rsidRDefault="0088511D"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 </w:t>
            </w:r>
          </w:p>
        </w:tc>
        <w:tc>
          <w:tcPr>
            <w:tcW w:w="1706" w:type="dxa"/>
            <w:noWrap/>
            <w:hideMark/>
          </w:tcPr>
          <w:p w14:paraId="672D82C0" w14:textId="77777777" w:rsidR="0088511D" w:rsidRPr="00FC5B6A" w:rsidRDefault="0088511D"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 </w:t>
            </w:r>
          </w:p>
        </w:tc>
      </w:tr>
      <w:tr w:rsidR="0088511D" w:rsidRPr="00FC5B6A" w14:paraId="7DD8EB6C" w14:textId="77777777" w:rsidTr="00755617">
        <w:trPr>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hideMark/>
          </w:tcPr>
          <w:p w14:paraId="444E7C76" w14:textId="77777777" w:rsidR="0088511D" w:rsidRPr="00FC5B6A" w:rsidRDefault="0088511D" w:rsidP="00B820C8">
            <w:pPr>
              <w:keepNext/>
              <w:rPr>
                <w:rFonts w:eastAsia="Times New Roman" w:cstheme="minorHAnsi"/>
                <w:b w:val="0"/>
                <w:bCs w:val="0"/>
                <w:color w:val="000000" w:themeColor="text1"/>
                <w:sz w:val="22"/>
                <w:szCs w:val="22"/>
                <w:lang w:eastAsia="es-CO"/>
              </w:rPr>
            </w:pPr>
          </w:p>
        </w:tc>
        <w:tc>
          <w:tcPr>
            <w:tcW w:w="3455" w:type="dxa"/>
            <w:noWrap/>
            <w:hideMark/>
          </w:tcPr>
          <w:p w14:paraId="12099D07" w14:textId="77777777" w:rsidR="0088511D" w:rsidRPr="00FC5B6A" w:rsidRDefault="0088511D"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proofErr w:type="spellStart"/>
            <w:r w:rsidRPr="00FC5B6A">
              <w:rPr>
                <w:rFonts w:eastAsia="Times New Roman" w:cstheme="minorHAnsi"/>
                <w:color w:val="000000" w:themeColor="text1"/>
                <w:sz w:val="22"/>
                <w:szCs w:val="22"/>
                <w:lang w:eastAsia="es-CO"/>
              </w:rPr>
              <w:t>Deforestación</w:t>
            </w:r>
            <w:proofErr w:type="spellEnd"/>
          </w:p>
        </w:tc>
        <w:tc>
          <w:tcPr>
            <w:tcW w:w="1558" w:type="dxa"/>
            <w:noWrap/>
            <w:hideMark/>
          </w:tcPr>
          <w:p w14:paraId="15D9C713" w14:textId="529D2F9E" w:rsidR="0088511D" w:rsidRPr="00FC5B6A" w:rsidRDefault="0088511D" w:rsidP="00B820C8">
            <w:pPr>
              <w:keepNext/>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 20</w:t>
            </w:r>
            <w:r w:rsidR="00755617" w:rsidRPr="00FC5B6A">
              <w:rPr>
                <w:rFonts w:eastAsia="Times New Roman" w:cstheme="minorHAnsi"/>
                <w:color w:val="000000" w:themeColor="text1"/>
                <w:sz w:val="22"/>
                <w:szCs w:val="22"/>
                <w:lang w:eastAsia="es-CO"/>
              </w:rPr>
              <w:t>22</w:t>
            </w:r>
          </w:p>
        </w:tc>
        <w:tc>
          <w:tcPr>
            <w:tcW w:w="880" w:type="dxa"/>
            <w:noWrap/>
            <w:hideMark/>
          </w:tcPr>
          <w:p w14:paraId="5EB6D9D9" w14:textId="77777777" w:rsidR="0088511D" w:rsidRPr="00FC5B6A" w:rsidRDefault="0088511D"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 </w:t>
            </w:r>
          </w:p>
        </w:tc>
        <w:tc>
          <w:tcPr>
            <w:tcW w:w="1706" w:type="dxa"/>
            <w:noWrap/>
            <w:hideMark/>
          </w:tcPr>
          <w:p w14:paraId="27D051A5" w14:textId="77777777" w:rsidR="0088511D" w:rsidRPr="00FC5B6A" w:rsidRDefault="0088511D"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 </w:t>
            </w:r>
          </w:p>
        </w:tc>
      </w:tr>
      <w:tr w:rsidR="0088511D" w:rsidRPr="00FC5B6A" w14:paraId="0F158747" w14:textId="77777777" w:rsidTr="0075561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hideMark/>
          </w:tcPr>
          <w:p w14:paraId="05CC8F31" w14:textId="77777777" w:rsidR="0088511D" w:rsidRPr="00FC5B6A" w:rsidRDefault="0088511D" w:rsidP="00B820C8">
            <w:pPr>
              <w:keepNext/>
              <w:rPr>
                <w:rFonts w:eastAsia="Times New Roman" w:cstheme="minorHAnsi"/>
                <w:b w:val="0"/>
                <w:bCs w:val="0"/>
                <w:color w:val="000000" w:themeColor="text1"/>
                <w:sz w:val="22"/>
                <w:szCs w:val="22"/>
                <w:lang w:eastAsia="es-CO"/>
              </w:rPr>
            </w:pPr>
          </w:p>
        </w:tc>
        <w:tc>
          <w:tcPr>
            <w:tcW w:w="3455" w:type="dxa"/>
            <w:noWrap/>
            <w:hideMark/>
          </w:tcPr>
          <w:p w14:paraId="139DEF25" w14:textId="77777777" w:rsidR="0088511D" w:rsidRPr="00FC5B6A" w:rsidRDefault="0088511D"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proofErr w:type="spellStart"/>
            <w:r w:rsidRPr="00FC5B6A">
              <w:rPr>
                <w:rFonts w:eastAsia="Times New Roman" w:cstheme="minorHAnsi"/>
                <w:color w:val="000000" w:themeColor="text1"/>
                <w:sz w:val="22"/>
                <w:szCs w:val="22"/>
                <w:lang w:eastAsia="es-CO"/>
              </w:rPr>
              <w:t>Proyectos</w:t>
            </w:r>
            <w:proofErr w:type="spellEnd"/>
            <w:r w:rsidRPr="00FC5B6A">
              <w:rPr>
                <w:rFonts w:eastAsia="Times New Roman" w:cstheme="minorHAnsi"/>
                <w:color w:val="000000" w:themeColor="text1"/>
                <w:sz w:val="22"/>
                <w:szCs w:val="22"/>
                <w:lang w:eastAsia="es-CO"/>
              </w:rPr>
              <w:t xml:space="preserve"> de </w:t>
            </w:r>
            <w:proofErr w:type="spellStart"/>
            <w:r w:rsidRPr="00FC5B6A">
              <w:rPr>
                <w:rFonts w:eastAsia="Times New Roman" w:cstheme="minorHAnsi"/>
                <w:color w:val="000000" w:themeColor="text1"/>
                <w:sz w:val="22"/>
                <w:szCs w:val="22"/>
                <w:lang w:eastAsia="es-CO"/>
              </w:rPr>
              <w:t>Minería</w:t>
            </w:r>
            <w:proofErr w:type="spellEnd"/>
            <w:r w:rsidRPr="00FC5B6A">
              <w:rPr>
                <w:rFonts w:eastAsia="Times New Roman" w:cstheme="minorHAnsi"/>
                <w:color w:val="000000" w:themeColor="text1"/>
                <w:sz w:val="22"/>
                <w:szCs w:val="22"/>
                <w:lang w:eastAsia="es-CO"/>
              </w:rPr>
              <w:t xml:space="preserve"> </w:t>
            </w:r>
          </w:p>
        </w:tc>
        <w:tc>
          <w:tcPr>
            <w:tcW w:w="1558" w:type="dxa"/>
            <w:noWrap/>
            <w:hideMark/>
          </w:tcPr>
          <w:p w14:paraId="2CEC1597" w14:textId="77777777" w:rsidR="0088511D" w:rsidRPr="00FC5B6A" w:rsidRDefault="0088511D" w:rsidP="00B820C8">
            <w:pPr>
              <w:keepNext/>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2015</w:t>
            </w:r>
          </w:p>
        </w:tc>
        <w:tc>
          <w:tcPr>
            <w:tcW w:w="880" w:type="dxa"/>
            <w:noWrap/>
            <w:hideMark/>
          </w:tcPr>
          <w:p w14:paraId="78050FB4" w14:textId="77777777" w:rsidR="0088511D" w:rsidRPr="00FC5B6A" w:rsidRDefault="0088511D"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SIAC</w:t>
            </w:r>
          </w:p>
        </w:tc>
        <w:tc>
          <w:tcPr>
            <w:tcW w:w="1706" w:type="dxa"/>
            <w:noWrap/>
            <w:hideMark/>
          </w:tcPr>
          <w:p w14:paraId="75386206" w14:textId="77777777" w:rsidR="0088511D" w:rsidRPr="00FC5B6A" w:rsidRDefault="0088511D"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ANLA</w:t>
            </w:r>
          </w:p>
        </w:tc>
      </w:tr>
      <w:tr w:rsidR="0088511D" w:rsidRPr="00FC5B6A" w14:paraId="6C0182EE" w14:textId="77777777" w:rsidTr="00755617">
        <w:trPr>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hideMark/>
          </w:tcPr>
          <w:p w14:paraId="47F37573" w14:textId="77777777" w:rsidR="0088511D" w:rsidRPr="00FC5B6A" w:rsidRDefault="0088511D" w:rsidP="00B820C8">
            <w:pPr>
              <w:keepNext/>
              <w:rPr>
                <w:rFonts w:eastAsia="Times New Roman" w:cstheme="minorHAnsi"/>
                <w:b w:val="0"/>
                <w:bCs w:val="0"/>
                <w:color w:val="000000" w:themeColor="text1"/>
                <w:sz w:val="22"/>
                <w:szCs w:val="22"/>
                <w:lang w:eastAsia="es-CO"/>
              </w:rPr>
            </w:pPr>
          </w:p>
        </w:tc>
        <w:tc>
          <w:tcPr>
            <w:tcW w:w="3455" w:type="dxa"/>
            <w:noWrap/>
            <w:hideMark/>
          </w:tcPr>
          <w:p w14:paraId="61EDA1A1" w14:textId="77777777" w:rsidR="0088511D" w:rsidRPr="00FC5B6A" w:rsidRDefault="0088511D"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proofErr w:type="spellStart"/>
            <w:r w:rsidRPr="00FC5B6A">
              <w:rPr>
                <w:rFonts w:eastAsia="Times New Roman" w:cstheme="minorHAnsi"/>
                <w:color w:val="000000" w:themeColor="text1"/>
                <w:sz w:val="22"/>
                <w:szCs w:val="22"/>
                <w:lang w:eastAsia="es-CO"/>
              </w:rPr>
              <w:t>Proyectos</w:t>
            </w:r>
            <w:proofErr w:type="spellEnd"/>
            <w:r w:rsidRPr="00FC5B6A">
              <w:rPr>
                <w:rFonts w:eastAsia="Times New Roman" w:cstheme="minorHAnsi"/>
                <w:color w:val="000000" w:themeColor="text1"/>
                <w:sz w:val="22"/>
                <w:szCs w:val="22"/>
                <w:lang w:eastAsia="es-CO"/>
              </w:rPr>
              <w:t xml:space="preserve"> de </w:t>
            </w:r>
            <w:proofErr w:type="spellStart"/>
            <w:r w:rsidRPr="00FC5B6A">
              <w:rPr>
                <w:rFonts w:eastAsia="Times New Roman" w:cstheme="minorHAnsi"/>
                <w:color w:val="000000" w:themeColor="text1"/>
                <w:sz w:val="22"/>
                <w:szCs w:val="22"/>
                <w:lang w:eastAsia="es-CO"/>
              </w:rPr>
              <w:t>hidrocarburos</w:t>
            </w:r>
            <w:proofErr w:type="spellEnd"/>
          </w:p>
        </w:tc>
        <w:tc>
          <w:tcPr>
            <w:tcW w:w="1558" w:type="dxa"/>
            <w:noWrap/>
            <w:hideMark/>
          </w:tcPr>
          <w:p w14:paraId="745E8A0E" w14:textId="77777777" w:rsidR="0088511D" w:rsidRPr="00FC5B6A" w:rsidRDefault="0088511D" w:rsidP="00B820C8">
            <w:pPr>
              <w:keepNext/>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2015</w:t>
            </w:r>
          </w:p>
        </w:tc>
        <w:tc>
          <w:tcPr>
            <w:tcW w:w="880" w:type="dxa"/>
            <w:noWrap/>
            <w:hideMark/>
          </w:tcPr>
          <w:p w14:paraId="69E342DB" w14:textId="77777777" w:rsidR="0088511D" w:rsidRPr="00FC5B6A" w:rsidRDefault="0088511D"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SIAC</w:t>
            </w:r>
          </w:p>
        </w:tc>
        <w:tc>
          <w:tcPr>
            <w:tcW w:w="1706" w:type="dxa"/>
            <w:noWrap/>
            <w:hideMark/>
          </w:tcPr>
          <w:p w14:paraId="4E88AA7E" w14:textId="77777777" w:rsidR="0088511D" w:rsidRPr="00FC5B6A" w:rsidRDefault="0088511D" w:rsidP="00B820C8">
            <w:pPr>
              <w:keepNex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ANLA</w:t>
            </w:r>
          </w:p>
        </w:tc>
      </w:tr>
      <w:tr w:rsidR="0088511D" w:rsidRPr="00FC5B6A" w14:paraId="75FDDEC8" w14:textId="77777777" w:rsidTr="0075561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hideMark/>
          </w:tcPr>
          <w:p w14:paraId="1108D887" w14:textId="77777777" w:rsidR="0088511D" w:rsidRPr="00FC5B6A" w:rsidRDefault="0088511D" w:rsidP="00B820C8">
            <w:pPr>
              <w:keepNext/>
              <w:rPr>
                <w:rFonts w:eastAsia="Times New Roman" w:cstheme="minorHAnsi"/>
                <w:b w:val="0"/>
                <w:bCs w:val="0"/>
                <w:color w:val="000000" w:themeColor="text1"/>
                <w:sz w:val="22"/>
                <w:szCs w:val="22"/>
                <w:lang w:eastAsia="es-CO"/>
              </w:rPr>
            </w:pPr>
          </w:p>
        </w:tc>
        <w:tc>
          <w:tcPr>
            <w:tcW w:w="3455" w:type="dxa"/>
            <w:noWrap/>
            <w:hideMark/>
          </w:tcPr>
          <w:p w14:paraId="1B677475" w14:textId="77777777" w:rsidR="0088511D" w:rsidRPr="00FC5B6A" w:rsidRDefault="0088511D"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proofErr w:type="spellStart"/>
            <w:r w:rsidRPr="00FC5B6A">
              <w:rPr>
                <w:rFonts w:eastAsia="Times New Roman" w:cstheme="minorHAnsi"/>
                <w:color w:val="000000" w:themeColor="text1"/>
                <w:sz w:val="22"/>
                <w:szCs w:val="22"/>
                <w:lang w:eastAsia="es-CO"/>
              </w:rPr>
              <w:t>Escenarios</w:t>
            </w:r>
            <w:proofErr w:type="spellEnd"/>
            <w:r w:rsidRPr="00FC5B6A">
              <w:rPr>
                <w:rFonts w:eastAsia="Times New Roman" w:cstheme="minorHAnsi"/>
                <w:color w:val="000000" w:themeColor="text1"/>
                <w:sz w:val="22"/>
                <w:szCs w:val="22"/>
                <w:lang w:eastAsia="es-CO"/>
              </w:rPr>
              <w:t xml:space="preserve"> de Cambio </w:t>
            </w:r>
            <w:proofErr w:type="spellStart"/>
            <w:r w:rsidRPr="00FC5B6A">
              <w:rPr>
                <w:rFonts w:eastAsia="Times New Roman" w:cstheme="minorHAnsi"/>
                <w:color w:val="000000" w:themeColor="text1"/>
                <w:sz w:val="22"/>
                <w:szCs w:val="22"/>
                <w:lang w:eastAsia="es-CO"/>
              </w:rPr>
              <w:t>Climático</w:t>
            </w:r>
            <w:proofErr w:type="spellEnd"/>
          </w:p>
        </w:tc>
        <w:tc>
          <w:tcPr>
            <w:tcW w:w="1558" w:type="dxa"/>
            <w:noWrap/>
            <w:hideMark/>
          </w:tcPr>
          <w:p w14:paraId="6AEB75EE" w14:textId="77777777" w:rsidR="0088511D" w:rsidRPr="00FC5B6A" w:rsidRDefault="0088511D" w:rsidP="00B820C8">
            <w:pPr>
              <w:keepNext/>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 2015</w:t>
            </w:r>
          </w:p>
        </w:tc>
        <w:tc>
          <w:tcPr>
            <w:tcW w:w="880" w:type="dxa"/>
            <w:noWrap/>
            <w:hideMark/>
          </w:tcPr>
          <w:p w14:paraId="66182BF6" w14:textId="77777777" w:rsidR="0088511D" w:rsidRPr="00FC5B6A" w:rsidRDefault="0088511D"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 </w:t>
            </w:r>
          </w:p>
        </w:tc>
        <w:tc>
          <w:tcPr>
            <w:tcW w:w="1706" w:type="dxa"/>
            <w:noWrap/>
            <w:hideMark/>
          </w:tcPr>
          <w:p w14:paraId="485B69FD" w14:textId="77777777" w:rsidR="0088511D" w:rsidRPr="00FC5B6A" w:rsidRDefault="0088511D" w:rsidP="00B820C8">
            <w:pPr>
              <w:keepNex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 </w:t>
            </w:r>
          </w:p>
        </w:tc>
      </w:tr>
      <w:tr w:rsidR="0088511D" w:rsidRPr="00FC5B6A" w14:paraId="7F53C5D1" w14:textId="77777777" w:rsidTr="00755617">
        <w:trPr>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hideMark/>
          </w:tcPr>
          <w:p w14:paraId="275890A0" w14:textId="77777777" w:rsidR="0088511D" w:rsidRPr="00FC5B6A" w:rsidRDefault="0088511D" w:rsidP="00D56EE9">
            <w:pPr>
              <w:rPr>
                <w:rFonts w:eastAsia="Times New Roman" w:cstheme="minorHAnsi"/>
                <w:b w:val="0"/>
                <w:bCs w:val="0"/>
                <w:color w:val="000000" w:themeColor="text1"/>
                <w:sz w:val="22"/>
                <w:szCs w:val="22"/>
                <w:lang w:eastAsia="es-CO"/>
              </w:rPr>
            </w:pPr>
          </w:p>
        </w:tc>
        <w:tc>
          <w:tcPr>
            <w:tcW w:w="3455" w:type="dxa"/>
            <w:noWrap/>
            <w:hideMark/>
          </w:tcPr>
          <w:p w14:paraId="0BB1083E"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val="es-CO" w:eastAsia="es-CO"/>
              </w:rPr>
            </w:pPr>
            <w:r w:rsidRPr="00FC5B6A">
              <w:rPr>
                <w:rFonts w:eastAsia="Times New Roman" w:cstheme="minorHAnsi"/>
                <w:color w:val="000000" w:themeColor="text1"/>
                <w:sz w:val="22"/>
                <w:szCs w:val="22"/>
                <w:lang w:val="es-CO" w:eastAsia="es-CO"/>
              </w:rPr>
              <w:t>Conflicto de Uso de Suelo</w:t>
            </w:r>
          </w:p>
        </w:tc>
        <w:tc>
          <w:tcPr>
            <w:tcW w:w="1558" w:type="dxa"/>
            <w:noWrap/>
            <w:hideMark/>
          </w:tcPr>
          <w:p w14:paraId="2195FC41" w14:textId="77777777" w:rsidR="0088511D" w:rsidRPr="00FC5B6A" w:rsidRDefault="0088511D" w:rsidP="00D56EE9">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val="es-CO" w:eastAsia="es-CO"/>
              </w:rPr>
              <w:t> </w:t>
            </w:r>
            <w:r w:rsidRPr="00FC5B6A">
              <w:rPr>
                <w:rFonts w:eastAsia="Times New Roman" w:cstheme="minorHAnsi"/>
                <w:color w:val="000000" w:themeColor="text1"/>
                <w:sz w:val="22"/>
                <w:szCs w:val="22"/>
                <w:lang w:eastAsia="es-CO"/>
              </w:rPr>
              <w:t>2012</w:t>
            </w:r>
          </w:p>
        </w:tc>
        <w:tc>
          <w:tcPr>
            <w:tcW w:w="880" w:type="dxa"/>
            <w:noWrap/>
            <w:hideMark/>
          </w:tcPr>
          <w:p w14:paraId="11FB1944"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 IGAC</w:t>
            </w:r>
          </w:p>
        </w:tc>
        <w:tc>
          <w:tcPr>
            <w:tcW w:w="1706" w:type="dxa"/>
            <w:noWrap/>
            <w:hideMark/>
          </w:tcPr>
          <w:p w14:paraId="6904FC66"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IGAC </w:t>
            </w:r>
          </w:p>
        </w:tc>
      </w:tr>
      <w:tr w:rsidR="0088511D" w:rsidRPr="00FC5B6A" w14:paraId="10DFDBE0" w14:textId="77777777" w:rsidTr="0075561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hideMark/>
          </w:tcPr>
          <w:p w14:paraId="4BD8F14A" w14:textId="77777777" w:rsidR="0088511D" w:rsidRPr="00FC5B6A" w:rsidRDefault="0088511D" w:rsidP="00D56EE9">
            <w:pPr>
              <w:rPr>
                <w:rFonts w:eastAsia="Times New Roman" w:cstheme="minorHAnsi"/>
                <w:b w:val="0"/>
                <w:bCs w:val="0"/>
                <w:color w:val="000000" w:themeColor="text1"/>
                <w:sz w:val="22"/>
                <w:szCs w:val="22"/>
                <w:lang w:eastAsia="es-CO"/>
              </w:rPr>
            </w:pPr>
          </w:p>
        </w:tc>
        <w:tc>
          <w:tcPr>
            <w:tcW w:w="3455" w:type="dxa"/>
            <w:noWrap/>
            <w:hideMark/>
          </w:tcPr>
          <w:p w14:paraId="5CAD8237"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proofErr w:type="spellStart"/>
            <w:r w:rsidRPr="00FC5B6A">
              <w:rPr>
                <w:rFonts w:eastAsia="Times New Roman" w:cstheme="minorHAnsi"/>
                <w:color w:val="000000" w:themeColor="text1"/>
                <w:sz w:val="22"/>
                <w:szCs w:val="22"/>
                <w:lang w:eastAsia="es-CO"/>
              </w:rPr>
              <w:t>Cultivos</w:t>
            </w:r>
            <w:proofErr w:type="spellEnd"/>
            <w:r w:rsidRPr="00FC5B6A">
              <w:rPr>
                <w:rFonts w:eastAsia="Times New Roman" w:cstheme="minorHAnsi"/>
                <w:color w:val="000000" w:themeColor="text1"/>
                <w:sz w:val="22"/>
                <w:szCs w:val="22"/>
                <w:lang w:eastAsia="es-CO"/>
              </w:rPr>
              <w:t xml:space="preserve"> </w:t>
            </w:r>
            <w:proofErr w:type="spellStart"/>
            <w:r w:rsidRPr="00FC5B6A">
              <w:rPr>
                <w:rFonts w:eastAsia="Times New Roman" w:cstheme="minorHAnsi"/>
                <w:color w:val="000000" w:themeColor="text1"/>
                <w:sz w:val="22"/>
                <w:szCs w:val="22"/>
                <w:lang w:eastAsia="es-CO"/>
              </w:rPr>
              <w:t>ilícitos</w:t>
            </w:r>
            <w:proofErr w:type="spellEnd"/>
            <w:r w:rsidRPr="00FC5B6A">
              <w:rPr>
                <w:rFonts w:eastAsia="Times New Roman" w:cstheme="minorHAnsi"/>
                <w:color w:val="000000" w:themeColor="text1"/>
                <w:sz w:val="22"/>
                <w:szCs w:val="22"/>
                <w:lang w:eastAsia="es-CO"/>
              </w:rPr>
              <w:t xml:space="preserve"> </w:t>
            </w:r>
          </w:p>
        </w:tc>
        <w:tc>
          <w:tcPr>
            <w:tcW w:w="1558" w:type="dxa"/>
            <w:noWrap/>
            <w:hideMark/>
          </w:tcPr>
          <w:p w14:paraId="07696C20" w14:textId="30466BF1" w:rsidR="0088511D" w:rsidRPr="00FC5B6A" w:rsidRDefault="0088511D" w:rsidP="00D56EE9">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 20</w:t>
            </w:r>
            <w:r w:rsidR="00755617" w:rsidRPr="00FC5B6A">
              <w:rPr>
                <w:rFonts w:eastAsia="Times New Roman" w:cstheme="minorHAnsi"/>
                <w:color w:val="000000" w:themeColor="text1"/>
                <w:sz w:val="22"/>
                <w:szCs w:val="22"/>
                <w:lang w:eastAsia="es-CO"/>
              </w:rPr>
              <w:t>22</w:t>
            </w:r>
          </w:p>
        </w:tc>
        <w:tc>
          <w:tcPr>
            <w:tcW w:w="880" w:type="dxa"/>
            <w:noWrap/>
            <w:hideMark/>
          </w:tcPr>
          <w:p w14:paraId="7265A991"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SIMCI </w:t>
            </w:r>
          </w:p>
        </w:tc>
        <w:tc>
          <w:tcPr>
            <w:tcW w:w="1706" w:type="dxa"/>
            <w:noWrap/>
            <w:hideMark/>
          </w:tcPr>
          <w:p w14:paraId="41270461"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SIMCI</w:t>
            </w:r>
          </w:p>
        </w:tc>
      </w:tr>
      <w:tr w:rsidR="0088511D" w:rsidRPr="00FC5B6A" w14:paraId="264FA35D" w14:textId="77777777" w:rsidTr="00755617">
        <w:trPr>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hideMark/>
          </w:tcPr>
          <w:p w14:paraId="7702E3A8" w14:textId="77777777" w:rsidR="0088511D" w:rsidRPr="00FC5B6A" w:rsidRDefault="0088511D" w:rsidP="00D56EE9">
            <w:pPr>
              <w:rPr>
                <w:rFonts w:eastAsia="Times New Roman" w:cstheme="minorHAnsi"/>
                <w:b w:val="0"/>
                <w:bCs w:val="0"/>
                <w:color w:val="000000" w:themeColor="text1"/>
                <w:sz w:val="22"/>
                <w:szCs w:val="22"/>
                <w:lang w:eastAsia="es-CO"/>
              </w:rPr>
            </w:pPr>
          </w:p>
        </w:tc>
        <w:tc>
          <w:tcPr>
            <w:tcW w:w="3455" w:type="dxa"/>
            <w:noWrap/>
            <w:hideMark/>
          </w:tcPr>
          <w:p w14:paraId="44E4A894" w14:textId="770C8A0A"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proofErr w:type="spellStart"/>
            <w:r w:rsidRPr="00FC5B6A">
              <w:rPr>
                <w:rFonts w:eastAsia="Times New Roman" w:cstheme="minorHAnsi"/>
                <w:color w:val="000000" w:themeColor="text1"/>
                <w:sz w:val="22"/>
                <w:szCs w:val="22"/>
                <w:lang w:eastAsia="es-CO"/>
              </w:rPr>
              <w:t>Minería</w:t>
            </w:r>
            <w:proofErr w:type="spellEnd"/>
            <w:r w:rsidRPr="00FC5B6A">
              <w:rPr>
                <w:rFonts w:eastAsia="Times New Roman" w:cstheme="minorHAnsi"/>
                <w:color w:val="000000" w:themeColor="text1"/>
                <w:sz w:val="22"/>
                <w:szCs w:val="22"/>
                <w:lang w:eastAsia="es-CO"/>
              </w:rPr>
              <w:t xml:space="preserve"> </w:t>
            </w:r>
            <w:r w:rsidR="00C72C9A" w:rsidRPr="00FC5B6A">
              <w:rPr>
                <w:rFonts w:eastAsia="Times New Roman" w:cstheme="minorHAnsi"/>
                <w:color w:val="000000" w:themeColor="text1"/>
                <w:sz w:val="22"/>
                <w:szCs w:val="22"/>
                <w:lang w:eastAsia="es-CO"/>
              </w:rPr>
              <w:t>illegal</w:t>
            </w:r>
          </w:p>
        </w:tc>
        <w:tc>
          <w:tcPr>
            <w:tcW w:w="1558" w:type="dxa"/>
            <w:noWrap/>
            <w:hideMark/>
          </w:tcPr>
          <w:p w14:paraId="13241C0C" w14:textId="77777777" w:rsidR="0088511D" w:rsidRPr="00FC5B6A" w:rsidRDefault="0088511D" w:rsidP="00D56EE9">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 2015</w:t>
            </w:r>
          </w:p>
        </w:tc>
        <w:tc>
          <w:tcPr>
            <w:tcW w:w="880" w:type="dxa"/>
            <w:noWrap/>
            <w:hideMark/>
          </w:tcPr>
          <w:p w14:paraId="6B54A983"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UPME</w:t>
            </w:r>
          </w:p>
        </w:tc>
        <w:tc>
          <w:tcPr>
            <w:tcW w:w="1706" w:type="dxa"/>
            <w:noWrap/>
            <w:hideMark/>
          </w:tcPr>
          <w:p w14:paraId="29F7E66D"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UPME</w:t>
            </w:r>
          </w:p>
        </w:tc>
      </w:tr>
      <w:tr w:rsidR="0088511D" w:rsidRPr="00FC5B6A" w14:paraId="0E82526F" w14:textId="77777777" w:rsidTr="0075561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tcPr>
          <w:p w14:paraId="583AF05D" w14:textId="77777777" w:rsidR="0088511D" w:rsidRPr="00FC5B6A" w:rsidRDefault="0088511D" w:rsidP="00D56EE9">
            <w:pPr>
              <w:rPr>
                <w:rFonts w:eastAsia="Times New Roman" w:cstheme="minorHAnsi"/>
                <w:b w:val="0"/>
                <w:bCs w:val="0"/>
                <w:color w:val="000000" w:themeColor="text1"/>
                <w:sz w:val="22"/>
                <w:szCs w:val="22"/>
                <w:lang w:eastAsia="es-CO"/>
              </w:rPr>
            </w:pPr>
          </w:p>
        </w:tc>
        <w:tc>
          <w:tcPr>
            <w:tcW w:w="3455" w:type="dxa"/>
            <w:noWrap/>
          </w:tcPr>
          <w:p w14:paraId="682407DC"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proofErr w:type="spellStart"/>
            <w:r w:rsidRPr="00FC5B6A">
              <w:rPr>
                <w:rFonts w:eastAsia="Times New Roman" w:cstheme="minorHAnsi"/>
                <w:color w:val="000000" w:themeColor="text1"/>
                <w:sz w:val="22"/>
                <w:szCs w:val="22"/>
                <w:lang w:eastAsia="es-CO"/>
              </w:rPr>
              <w:t>Vulnerabilidad</w:t>
            </w:r>
            <w:proofErr w:type="spellEnd"/>
            <w:r w:rsidRPr="00FC5B6A">
              <w:rPr>
                <w:rFonts w:eastAsia="Times New Roman" w:cstheme="minorHAnsi"/>
                <w:color w:val="000000" w:themeColor="text1"/>
                <w:sz w:val="22"/>
                <w:szCs w:val="22"/>
                <w:lang w:eastAsia="es-CO"/>
              </w:rPr>
              <w:t xml:space="preserve"> al Cambio </w:t>
            </w:r>
            <w:proofErr w:type="spellStart"/>
            <w:r w:rsidRPr="00FC5B6A">
              <w:rPr>
                <w:rFonts w:eastAsia="Times New Roman" w:cstheme="minorHAnsi"/>
                <w:color w:val="000000" w:themeColor="text1"/>
                <w:sz w:val="22"/>
                <w:szCs w:val="22"/>
                <w:lang w:eastAsia="es-CO"/>
              </w:rPr>
              <w:t>Climático</w:t>
            </w:r>
            <w:proofErr w:type="spellEnd"/>
          </w:p>
        </w:tc>
        <w:tc>
          <w:tcPr>
            <w:tcW w:w="1558" w:type="dxa"/>
            <w:noWrap/>
          </w:tcPr>
          <w:p w14:paraId="494E683A" w14:textId="77777777" w:rsidR="0088511D" w:rsidRPr="00FC5B6A" w:rsidRDefault="0088511D" w:rsidP="00D56EE9">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2017</w:t>
            </w:r>
          </w:p>
        </w:tc>
        <w:tc>
          <w:tcPr>
            <w:tcW w:w="880" w:type="dxa"/>
            <w:noWrap/>
          </w:tcPr>
          <w:p w14:paraId="600142B9"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w:t>
            </w:r>
          </w:p>
        </w:tc>
        <w:tc>
          <w:tcPr>
            <w:tcW w:w="1706" w:type="dxa"/>
            <w:noWrap/>
          </w:tcPr>
          <w:p w14:paraId="2B69A241"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w:t>
            </w:r>
          </w:p>
        </w:tc>
      </w:tr>
      <w:tr w:rsidR="0088511D" w:rsidRPr="00FC5B6A" w14:paraId="68739CA0" w14:textId="77777777" w:rsidTr="00755617">
        <w:trPr>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tcPr>
          <w:p w14:paraId="38A1365B" w14:textId="77777777" w:rsidR="0088511D" w:rsidRPr="00FC5B6A" w:rsidRDefault="0088511D" w:rsidP="00D56EE9">
            <w:pPr>
              <w:rPr>
                <w:rFonts w:eastAsia="Times New Roman" w:cstheme="minorHAnsi"/>
                <w:b w:val="0"/>
                <w:bCs w:val="0"/>
                <w:color w:val="000000" w:themeColor="text1"/>
                <w:sz w:val="22"/>
                <w:szCs w:val="22"/>
                <w:lang w:eastAsia="es-CO"/>
              </w:rPr>
            </w:pPr>
          </w:p>
        </w:tc>
        <w:tc>
          <w:tcPr>
            <w:tcW w:w="3455" w:type="dxa"/>
            <w:noWrap/>
          </w:tcPr>
          <w:p w14:paraId="1BAF0638"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proofErr w:type="spellStart"/>
            <w:r w:rsidRPr="00FC5B6A">
              <w:rPr>
                <w:rFonts w:eastAsia="Times New Roman" w:cstheme="minorHAnsi"/>
                <w:color w:val="000000" w:themeColor="text1"/>
                <w:sz w:val="22"/>
                <w:szCs w:val="22"/>
                <w:lang w:eastAsia="es-CO"/>
              </w:rPr>
              <w:t>Susceptibilidad</w:t>
            </w:r>
            <w:proofErr w:type="spellEnd"/>
            <w:r w:rsidRPr="00FC5B6A">
              <w:rPr>
                <w:rFonts w:eastAsia="Times New Roman" w:cstheme="minorHAnsi"/>
                <w:color w:val="000000" w:themeColor="text1"/>
                <w:sz w:val="22"/>
                <w:szCs w:val="22"/>
                <w:lang w:eastAsia="es-CO"/>
              </w:rPr>
              <w:t xml:space="preserve"> a </w:t>
            </w:r>
            <w:proofErr w:type="spellStart"/>
            <w:r w:rsidRPr="00FC5B6A">
              <w:rPr>
                <w:rFonts w:eastAsia="Times New Roman" w:cstheme="minorHAnsi"/>
                <w:color w:val="000000" w:themeColor="text1"/>
                <w:sz w:val="22"/>
                <w:szCs w:val="22"/>
                <w:lang w:eastAsia="es-CO"/>
              </w:rPr>
              <w:t>Deslizamientos</w:t>
            </w:r>
            <w:proofErr w:type="spellEnd"/>
          </w:p>
        </w:tc>
        <w:tc>
          <w:tcPr>
            <w:tcW w:w="1558" w:type="dxa"/>
            <w:noWrap/>
          </w:tcPr>
          <w:p w14:paraId="248E5EEC" w14:textId="77777777" w:rsidR="0088511D" w:rsidRPr="00FC5B6A" w:rsidRDefault="0088511D" w:rsidP="00D56EE9">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2010</w:t>
            </w:r>
          </w:p>
        </w:tc>
        <w:tc>
          <w:tcPr>
            <w:tcW w:w="880" w:type="dxa"/>
            <w:noWrap/>
          </w:tcPr>
          <w:p w14:paraId="04DC4FA4"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w:t>
            </w:r>
          </w:p>
        </w:tc>
        <w:tc>
          <w:tcPr>
            <w:tcW w:w="1706" w:type="dxa"/>
            <w:noWrap/>
          </w:tcPr>
          <w:p w14:paraId="12E7FA22"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w:t>
            </w:r>
          </w:p>
        </w:tc>
      </w:tr>
      <w:tr w:rsidR="0088511D" w:rsidRPr="00FC5B6A" w14:paraId="0D31AF7B" w14:textId="77777777" w:rsidTr="00755617">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229" w:type="dxa"/>
            <w:vMerge/>
          </w:tcPr>
          <w:p w14:paraId="364CA1C2" w14:textId="77777777" w:rsidR="0088511D" w:rsidRPr="00FC5B6A" w:rsidRDefault="0088511D" w:rsidP="00D56EE9">
            <w:pPr>
              <w:rPr>
                <w:rFonts w:eastAsia="Times New Roman" w:cstheme="minorHAnsi"/>
                <w:b w:val="0"/>
                <w:bCs w:val="0"/>
                <w:color w:val="000000" w:themeColor="text1"/>
                <w:sz w:val="22"/>
                <w:szCs w:val="22"/>
                <w:lang w:eastAsia="es-CO"/>
              </w:rPr>
            </w:pPr>
          </w:p>
        </w:tc>
        <w:tc>
          <w:tcPr>
            <w:tcW w:w="3455" w:type="dxa"/>
            <w:noWrap/>
          </w:tcPr>
          <w:p w14:paraId="34E65E14"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val="es-CO" w:eastAsia="es-CO"/>
              </w:rPr>
            </w:pPr>
            <w:r w:rsidRPr="00FC5B6A">
              <w:rPr>
                <w:rFonts w:eastAsia="Times New Roman" w:cstheme="minorHAnsi"/>
                <w:color w:val="000000" w:themeColor="text1"/>
                <w:sz w:val="22"/>
                <w:szCs w:val="22"/>
                <w:lang w:val="es-CO" w:eastAsia="es-CO"/>
              </w:rPr>
              <w:t>Degradación del suelo por Erosión</w:t>
            </w:r>
          </w:p>
        </w:tc>
        <w:tc>
          <w:tcPr>
            <w:tcW w:w="1558" w:type="dxa"/>
            <w:noWrap/>
          </w:tcPr>
          <w:p w14:paraId="04B3ED80" w14:textId="77777777" w:rsidR="0088511D" w:rsidRPr="00FC5B6A" w:rsidRDefault="0088511D" w:rsidP="00D56EE9">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2015</w:t>
            </w:r>
          </w:p>
        </w:tc>
        <w:tc>
          <w:tcPr>
            <w:tcW w:w="880" w:type="dxa"/>
            <w:noWrap/>
          </w:tcPr>
          <w:p w14:paraId="05AAFEE0"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SIAC</w:t>
            </w:r>
          </w:p>
        </w:tc>
        <w:tc>
          <w:tcPr>
            <w:tcW w:w="1706" w:type="dxa"/>
            <w:noWrap/>
          </w:tcPr>
          <w:p w14:paraId="0C0093C5"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sz w:val="22"/>
                <w:szCs w:val="22"/>
                <w:lang w:eastAsia="es-CO"/>
              </w:rPr>
            </w:pPr>
            <w:r w:rsidRPr="00FC5B6A">
              <w:rPr>
                <w:rFonts w:eastAsia="Times New Roman" w:cstheme="minorHAnsi"/>
                <w:color w:val="000000" w:themeColor="text1"/>
                <w:sz w:val="22"/>
                <w:szCs w:val="22"/>
                <w:lang w:eastAsia="es-CO"/>
              </w:rPr>
              <w:t>IDEAM</w:t>
            </w:r>
          </w:p>
        </w:tc>
      </w:tr>
    </w:tbl>
    <w:p w14:paraId="4625BD07" w14:textId="561CD214" w:rsidR="0088511D" w:rsidRPr="00FC5B6A" w:rsidRDefault="0088511D" w:rsidP="005A4F56">
      <w:pPr>
        <w:spacing w:after="0" w:line="276" w:lineRule="auto"/>
        <w:rPr>
          <w:rFonts w:eastAsiaTheme="majorEastAsia"/>
          <w:noProof/>
          <w:color w:val="000000" w:themeColor="text1"/>
        </w:rPr>
      </w:pPr>
    </w:p>
    <w:p w14:paraId="3B451E1E" w14:textId="508B9905" w:rsidR="1A24BF23" w:rsidRPr="00FC5B6A" w:rsidRDefault="1A24BF23" w:rsidP="1A24BF23">
      <w:pPr>
        <w:spacing w:after="0" w:line="276" w:lineRule="auto"/>
        <w:jc w:val="center"/>
        <w:rPr>
          <w:rFonts w:eastAsiaTheme="majorEastAsia"/>
          <w:noProof/>
          <w:color w:val="000000" w:themeColor="text1"/>
        </w:rPr>
      </w:pPr>
    </w:p>
    <w:tbl>
      <w:tblPr>
        <w:tblW w:w="0" w:type="auto"/>
        <w:jc w:val="center"/>
        <w:tblLayout w:type="fixed"/>
        <w:tblLook w:val="06A0" w:firstRow="1" w:lastRow="0" w:firstColumn="1" w:lastColumn="0" w:noHBand="1" w:noVBand="1"/>
      </w:tblPr>
      <w:tblGrid>
        <w:gridCol w:w="1202"/>
        <w:gridCol w:w="2403"/>
        <w:gridCol w:w="2220"/>
      </w:tblGrid>
      <w:tr w:rsidR="1A24BF23" w:rsidRPr="00FC5B6A" w14:paraId="6923402A" w14:textId="77777777" w:rsidTr="1A24BF23">
        <w:trPr>
          <w:trHeight w:val="300"/>
          <w:jc w:val="center"/>
        </w:trPr>
        <w:tc>
          <w:tcPr>
            <w:tcW w:w="1202" w:type="dxa"/>
            <w:tcBorders>
              <w:top w:val="single" w:sz="4" w:space="0" w:color="000000" w:themeColor="text1"/>
              <w:left w:val="single" w:sz="4" w:space="0" w:color="000000" w:themeColor="text1"/>
              <w:bottom w:val="single" w:sz="4" w:space="0" w:color="auto"/>
              <w:right w:val="nil"/>
            </w:tcBorders>
            <w:shd w:val="clear" w:color="auto" w:fill="4472C4" w:themeFill="accent1"/>
            <w:tcMar>
              <w:top w:w="15" w:type="dxa"/>
              <w:left w:w="15" w:type="dxa"/>
              <w:right w:w="15" w:type="dxa"/>
            </w:tcMar>
            <w:vAlign w:val="bottom"/>
          </w:tcPr>
          <w:p w14:paraId="613CA464" w14:textId="132F67B9" w:rsidR="1A24BF23" w:rsidRPr="00FC5B6A" w:rsidRDefault="1A24BF23" w:rsidP="1A24BF23">
            <w:pPr>
              <w:spacing w:after="0"/>
              <w:rPr>
                <w:b/>
                <w:bCs/>
                <w:color w:val="FFFFFF" w:themeColor="background1"/>
              </w:rPr>
            </w:pPr>
            <w:r w:rsidRPr="00FC5B6A">
              <w:rPr>
                <w:b/>
                <w:bCs/>
                <w:color w:val="FFFFFF" w:themeColor="background1"/>
                <w:sz w:val="20"/>
                <w:szCs w:val="20"/>
              </w:rPr>
              <w:t xml:space="preserve">Categoría </w:t>
            </w:r>
          </w:p>
        </w:tc>
        <w:tc>
          <w:tcPr>
            <w:tcW w:w="2403" w:type="dxa"/>
            <w:tcBorders>
              <w:top w:val="single" w:sz="4" w:space="0" w:color="000000" w:themeColor="text1"/>
              <w:left w:val="nil"/>
              <w:bottom w:val="single" w:sz="4" w:space="0" w:color="auto"/>
              <w:right w:val="nil"/>
            </w:tcBorders>
            <w:shd w:val="clear" w:color="auto" w:fill="4472C4" w:themeFill="accent1"/>
            <w:tcMar>
              <w:top w:w="15" w:type="dxa"/>
              <w:left w:w="15" w:type="dxa"/>
              <w:right w:w="15" w:type="dxa"/>
            </w:tcMar>
            <w:vAlign w:val="bottom"/>
          </w:tcPr>
          <w:p w14:paraId="6ED36EAB" w14:textId="30B4304E" w:rsidR="1A24BF23" w:rsidRPr="00FC5B6A" w:rsidRDefault="1A24BF23" w:rsidP="1A24BF23">
            <w:pPr>
              <w:spacing w:after="0"/>
              <w:rPr>
                <w:b/>
                <w:bCs/>
                <w:color w:val="FFFFFF" w:themeColor="background1"/>
              </w:rPr>
            </w:pPr>
            <w:r w:rsidRPr="00FC5B6A">
              <w:rPr>
                <w:b/>
                <w:bCs/>
                <w:color w:val="FFFFFF" w:themeColor="background1"/>
                <w:sz w:val="20"/>
                <w:szCs w:val="20"/>
              </w:rPr>
              <w:t xml:space="preserve">Dinámica </w:t>
            </w:r>
          </w:p>
        </w:tc>
        <w:tc>
          <w:tcPr>
            <w:tcW w:w="2220" w:type="dxa"/>
            <w:tcBorders>
              <w:top w:val="single" w:sz="4" w:space="0" w:color="000000" w:themeColor="text1"/>
              <w:left w:val="nil"/>
              <w:bottom w:val="single" w:sz="4" w:space="0" w:color="auto"/>
              <w:right w:val="single" w:sz="4" w:space="0" w:color="000000" w:themeColor="text1"/>
            </w:tcBorders>
            <w:shd w:val="clear" w:color="auto" w:fill="4472C4" w:themeFill="accent1"/>
            <w:tcMar>
              <w:top w:w="15" w:type="dxa"/>
              <w:left w:w="15" w:type="dxa"/>
              <w:right w:w="15" w:type="dxa"/>
            </w:tcMar>
            <w:vAlign w:val="bottom"/>
          </w:tcPr>
          <w:p w14:paraId="1407226B" w14:textId="1A957362" w:rsidR="1A24BF23" w:rsidRPr="00FC5B6A" w:rsidRDefault="1A24BF23" w:rsidP="1A24BF23">
            <w:pPr>
              <w:spacing w:after="0"/>
              <w:rPr>
                <w:b/>
                <w:bCs/>
                <w:color w:val="FFFFFF" w:themeColor="background1"/>
              </w:rPr>
            </w:pPr>
            <w:r w:rsidRPr="00FC5B6A">
              <w:rPr>
                <w:b/>
                <w:bCs/>
                <w:color w:val="FFFFFF" w:themeColor="background1"/>
                <w:sz w:val="20"/>
                <w:szCs w:val="20"/>
              </w:rPr>
              <w:t xml:space="preserve">Boyacá - Norte de Santander </w:t>
            </w:r>
          </w:p>
        </w:tc>
      </w:tr>
      <w:tr w:rsidR="1A24BF23" w:rsidRPr="00FC5B6A" w14:paraId="62346C22"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3C37407A" w14:textId="2B0BE092" w:rsidR="1A24BF23" w:rsidRPr="00FC5B6A" w:rsidRDefault="1A24BF23" w:rsidP="1A24BF23">
            <w:pPr>
              <w:spacing w:after="0"/>
              <w:rPr>
                <w:b/>
                <w:bCs/>
              </w:rPr>
            </w:pPr>
            <w:r w:rsidRPr="00FC5B6A">
              <w:rPr>
                <w:b/>
                <w:bCs/>
                <w:sz w:val="20"/>
                <w:szCs w:val="20"/>
              </w:rPr>
              <w:t xml:space="preserve">Demanda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01D4DC87" w14:textId="4B69A242" w:rsidR="1A24BF23" w:rsidRPr="00FC5B6A" w:rsidRDefault="1A24BF23" w:rsidP="1A24BF23">
            <w:pPr>
              <w:spacing w:after="0"/>
            </w:pPr>
            <w:r w:rsidRPr="00FC5B6A">
              <w:rPr>
                <w:sz w:val="20"/>
                <w:szCs w:val="20"/>
              </w:rPr>
              <w:t xml:space="preserve">Demanda hídrica total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shd w:val="clear" w:color="auto" w:fill="D9E2F3" w:themeFill="accent1" w:themeFillTint="33"/>
            <w:tcMar>
              <w:top w:w="15" w:type="dxa"/>
              <w:left w:w="15" w:type="dxa"/>
              <w:right w:w="15" w:type="dxa"/>
            </w:tcMar>
            <w:vAlign w:val="bottom"/>
          </w:tcPr>
          <w:p w14:paraId="029049E7" w14:textId="1D1AEFFD" w:rsidR="1A24BF23" w:rsidRPr="00FC5B6A" w:rsidRDefault="1A24BF23" w:rsidP="1A24BF23">
            <w:pPr>
              <w:spacing w:after="0"/>
            </w:pPr>
            <w:r w:rsidRPr="00FC5B6A">
              <w:rPr>
                <w:sz w:val="20"/>
                <w:szCs w:val="20"/>
              </w:rPr>
              <w:t xml:space="preserve">4 </w:t>
            </w:r>
          </w:p>
        </w:tc>
      </w:tr>
      <w:tr w:rsidR="1A24BF23" w:rsidRPr="00FC5B6A" w14:paraId="1EFBA66C"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tcMar>
              <w:top w:w="15" w:type="dxa"/>
              <w:left w:w="15" w:type="dxa"/>
              <w:right w:w="15" w:type="dxa"/>
            </w:tcMar>
            <w:vAlign w:val="bottom"/>
          </w:tcPr>
          <w:p w14:paraId="74782592" w14:textId="5D871C69" w:rsidR="1A24BF23" w:rsidRPr="00FC5B6A" w:rsidRDefault="1A24BF23" w:rsidP="1A24BF23">
            <w:pPr>
              <w:spacing w:after="0"/>
              <w:rPr>
                <w:b/>
                <w:bCs/>
              </w:rPr>
            </w:pPr>
            <w:r w:rsidRPr="00FC5B6A">
              <w:rPr>
                <w:b/>
                <w:bCs/>
                <w:sz w:val="20"/>
                <w:szCs w:val="20"/>
              </w:rPr>
              <w:t xml:space="preserve">Demanda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Mar>
              <w:top w:w="15" w:type="dxa"/>
              <w:left w:w="15" w:type="dxa"/>
              <w:right w:w="15" w:type="dxa"/>
            </w:tcMar>
            <w:vAlign w:val="bottom"/>
          </w:tcPr>
          <w:p w14:paraId="4174737E" w14:textId="28A11827" w:rsidR="1A24BF23" w:rsidRPr="00FC5B6A" w:rsidRDefault="1A24BF23" w:rsidP="1A24BF23">
            <w:pPr>
              <w:spacing w:after="0"/>
            </w:pPr>
            <w:r w:rsidRPr="00FC5B6A">
              <w:rPr>
                <w:sz w:val="20"/>
                <w:szCs w:val="20"/>
              </w:rPr>
              <w:t xml:space="preserve">Índice de Huella Espacial Humana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tcMar>
              <w:top w:w="15" w:type="dxa"/>
              <w:left w:w="15" w:type="dxa"/>
              <w:right w:w="15" w:type="dxa"/>
            </w:tcMar>
            <w:vAlign w:val="bottom"/>
          </w:tcPr>
          <w:p w14:paraId="2CABFD39" w14:textId="33A4F4EB" w:rsidR="1A24BF23" w:rsidRPr="00FC5B6A" w:rsidRDefault="1A24BF23" w:rsidP="1A24BF23">
            <w:pPr>
              <w:spacing w:after="0"/>
            </w:pPr>
            <w:r w:rsidRPr="00FC5B6A">
              <w:rPr>
                <w:sz w:val="20"/>
                <w:szCs w:val="20"/>
              </w:rPr>
              <w:t xml:space="preserve">3 </w:t>
            </w:r>
          </w:p>
        </w:tc>
      </w:tr>
      <w:tr w:rsidR="1A24BF23" w:rsidRPr="00FC5B6A" w14:paraId="66865983"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53E0F3AB" w14:textId="51E9CF3D" w:rsidR="1A24BF23" w:rsidRPr="00FC5B6A" w:rsidRDefault="1A24BF23" w:rsidP="1A24BF23">
            <w:pPr>
              <w:spacing w:after="0"/>
              <w:rPr>
                <w:b/>
                <w:bCs/>
              </w:rPr>
            </w:pPr>
            <w:r w:rsidRPr="00FC5B6A">
              <w:rPr>
                <w:b/>
                <w:bCs/>
                <w:sz w:val="20"/>
                <w:szCs w:val="20"/>
              </w:rPr>
              <w:t xml:space="preserve">Amenazas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00F13B96" w14:textId="349566CB" w:rsidR="1A24BF23" w:rsidRPr="00FC5B6A" w:rsidRDefault="1A24BF23" w:rsidP="1A24BF23">
            <w:pPr>
              <w:spacing w:after="0"/>
            </w:pPr>
            <w:r w:rsidRPr="00FC5B6A">
              <w:rPr>
                <w:sz w:val="20"/>
                <w:szCs w:val="20"/>
              </w:rPr>
              <w:t xml:space="preserve">Incendios forestales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shd w:val="clear" w:color="auto" w:fill="D9E2F3" w:themeFill="accent1" w:themeFillTint="33"/>
            <w:tcMar>
              <w:top w:w="15" w:type="dxa"/>
              <w:left w:w="15" w:type="dxa"/>
              <w:right w:w="15" w:type="dxa"/>
            </w:tcMar>
            <w:vAlign w:val="bottom"/>
          </w:tcPr>
          <w:p w14:paraId="60C8EFD5" w14:textId="5E583A7E" w:rsidR="1A24BF23" w:rsidRPr="00FC5B6A" w:rsidRDefault="1A24BF23" w:rsidP="1A24BF23">
            <w:pPr>
              <w:spacing w:after="0"/>
            </w:pPr>
            <w:r w:rsidRPr="00FC5B6A">
              <w:rPr>
                <w:sz w:val="20"/>
                <w:szCs w:val="20"/>
              </w:rPr>
              <w:t xml:space="preserve">4 </w:t>
            </w:r>
          </w:p>
        </w:tc>
      </w:tr>
      <w:tr w:rsidR="1A24BF23" w:rsidRPr="00FC5B6A" w14:paraId="7E1D515B"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tcMar>
              <w:top w:w="15" w:type="dxa"/>
              <w:left w:w="15" w:type="dxa"/>
              <w:right w:w="15" w:type="dxa"/>
            </w:tcMar>
            <w:vAlign w:val="bottom"/>
          </w:tcPr>
          <w:p w14:paraId="3F819B67" w14:textId="309BB76C" w:rsidR="1A24BF23" w:rsidRPr="00FC5B6A" w:rsidRDefault="1A24BF23" w:rsidP="1A24BF23">
            <w:pPr>
              <w:spacing w:after="0"/>
              <w:rPr>
                <w:b/>
                <w:bCs/>
              </w:rPr>
            </w:pPr>
            <w:r w:rsidRPr="00FC5B6A">
              <w:rPr>
                <w:b/>
                <w:bCs/>
                <w:sz w:val="20"/>
                <w:szCs w:val="20"/>
              </w:rPr>
              <w:t xml:space="preserve">Amenazas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Mar>
              <w:top w:w="15" w:type="dxa"/>
              <w:left w:w="15" w:type="dxa"/>
              <w:right w:w="15" w:type="dxa"/>
            </w:tcMar>
            <w:vAlign w:val="bottom"/>
          </w:tcPr>
          <w:p w14:paraId="35A71E45" w14:textId="395D162C" w:rsidR="1A24BF23" w:rsidRPr="00FC5B6A" w:rsidRDefault="1A24BF23" w:rsidP="1A24BF23">
            <w:pPr>
              <w:spacing w:after="0"/>
            </w:pPr>
            <w:r w:rsidRPr="00FC5B6A">
              <w:rPr>
                <w:sz w:val="20"/>
                <w:szCs w:val="20"/>
              </w:rPr>
              <w:t xml:space="preserve">Deforestación 2000-2022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tcMar>
              <w:top w:w="15" w:type="dxa"/>
              <w:left w:w="15" w:type="dxa"/>
              <w:right w:w="15" w:type="dxa"/>
            </w:tcMar>
            <w:vAlign w:val="bottom"/>
          </w:tcPr>
          <w:p w14:paraId="748B77CD" w14:textId="7CE8D9F5" w:rsidR="1A24BF23" w:rsidRPr="00FC5B6A" w:rsidRDefault="1A24BF23" w:rsidP="1A24BF23">
            <w:pPr>
              <w:spacing w:after="0"/>
            </w:pPr>
            <w:r w:rsidRPr="00FC5B6A">
              <w:rPr>
                <w:sz w:val="20"/>
                <w:szCs w:val="20"/>
              </w:rPr>
              <w:t xml:space="preserve">3 </w:t>
            </w:r>
          </w:p>
        </w:tc>
      </w:tr>
      <w:tr w:rsidR="1A24BF23" w:rsidRPr="00FC5B6A" w14:paraId="5133200B"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4E7AE105" w14:textId="49BD59F6" w:rsidR="1A24BF23" w:rsidRPr="00FC5B6A" w:rsidRDefault="1A24BF23" w:rsidP="1A24BF23">
            <w:pPr>
              <w:spacing w:after="0"/>
              <w:rPr>
                <w:b/>
                <w:bCs/>
              </w:rPr>
            </w:pPr>
            <w:r w:rsidRPr="00FC5B6A">
              <w:rPr>
                <w:b/>
                <w:bCs/>
                <w:sz w:val="20"/>
                <w:szCs w:val="20"/>
              </w:rPr>
              <w:t xml:space="preserve">Amenazas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3B33D2F5" w14:textId="2DFA89A1" w:rsidR="1A24BF23" w:rsidRPr="00FC5B6A" w:rsidRDefault="1A24BF23" w:rsidP="1A24BF23">
            <w:pPr>
              <w:spacing w:after="0"/>
            </w:pPr>
            <w:r w:rsidRPr="00FC5B6A">
              <w:rPr>
                <w:sz w:val="20"/>
                <w:szCs w:val="20"/>
              </w:rPr>
              <w:t xml:space="preserve">Proyectos de minería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shd w:val="clear" w:color="auto" w:fill="D9E2F3" w:themeFill="accent1" w:themeFillTint="33"/>
            <w:tcMar>
              <w:top w:w="15" w:type="dxa"/>
              <w:left w:w="15" w:type="dxa"/>
              <w:right w:w="15" w:type="dxa"/>
            </w:tcMar>
            <w:vAlign w:val="bottom"/>
          </w:tcPr>
          <w:p w14:paraId="5E3AA0CA" w14:textId="0030673D" w:rsidR="1A24BF23" w:rsidRPr="00FC5B6A" w:rsidRDefault="1A24BF23" w:rsidP="1A24BF23">
            <w:pPr>
              <w:spacing w:after="0"/>
            </w:pPr>
            <w:r w:rsidRPr="00FC5B6A">
              <w:rPr>
                <w:sz w:val="20"/>
                <w:szCs w:val="20"/>
              </w:rPr>
              <w:t xml:space="preserve">3 </w:t>
            </w:r>
          </w:p>
        </w:tc>
      </w:tr>
      <w:tr w:rsidR="1A24BF23" w:rsidRPr="00FC5B6A" w14:paraId="02058C9D"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tcMar>
              <w:top w:w="15" w:type="dxa"/>
              <w:left w:w="15" w:type="dxa"/>
              <w:right w:w="15" w:type="dxa"/>
            </w:tcMar>
            <w:vAlign w:val="bottom"/>
          </w:tcPr>
          <w:p w14:paraId="786C2276" w14:textId="07F3C798" w:rsidR="1A24BF23" w:rsidRPr="00FC5B6A" w:rsidRDefault="1A24BF23" w:rsidP="1A24BF23">
            <w:pPr>
              <w:spacing w:after="0"/>
              <w:rPr>
                <w:b/>
                <w:bCs/>
              </w:rPr>
            </w:pPr>
            <w:r w:rsidRPr="00FC5B6A">
              <w:rPr>
                <w:b/>
                <w:bCs/>
                <w:sz w:val="20"/>
                <w:szCs w:val="20"/>
              </w:rPr>
              <w:t xml:space="preserve">Amenazas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Mar>
              <w:top w:w="15" w:type="dxa"/>
              <w:left w:w="15" w:type="dxa"/>
              <w:right w:w="15" w:type="dxa"/>
            </w:tcMar>
            <w:vAlign w:val="bottom"/>
          </w:tcPr>
          <w:p w14:paraId="1AC57868" w14:textId="7AF72C0F" w:rsidR="1A24BF23" w:rsidRPr="00FC5B6A" w:rsidRDefault="1A24BF23" w:rsidP="1A24BF23">
            <w:pPr>
              <w:spacing w:after="0"/>
            </w:pPr>
            <w:r w:rsidRPr="00FC5B6A">
              <w:rPr>
                <w:sz w:val="20"/>
                <w:szCs w:val="20"/>
              </w:rPr>
              <w:t xml:space="preserve">Proyectos de hidrocarburos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tcMar>
              <w:top w:w="15" w:type="dxa"/>
              <w:left w:w="15" w:type="dxa"/>
              <w:right w:w="15" w:type="dxa"/>
            </w:tcMar>
            <w:vAlign w:val="bottom"/>
          </w:tcPr>
          <w:p w14:paraId="70D96910" w14:textId="35099F66" w:rsidR="1A24BF23" w:rsidRPr="00FC5B6A" w:rsidRDefault="1A24BF23" w:rsidP="1A24BF23">
            <w:pPr>
              <w:spacing w:after="0"/>
            </w:pPr>
            <w:r w:rsidRPr="00FC5B6A">
              <w:rPr>
                <w:sz w:val="20"/>
                <w:szCs w:val="20"/>
              </w:rPr>
              <w:t xml:space="preserve">3 </w:t>
            </w:r>
          </w:p>
        </w:tc>
      </w:tr>
      <w:tr w:rsidR="1A24BF23" w:rsidRPr="00FC5B6A" w14:paraId="374F1C67"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363D4A83" w14:textId="70FCE79E" w:rsidR="1A24BF23" w:rsidRPr="00FC5B6A" w:rsidRDefault="1A24BF23" w:rsidP="1A24BF23">
            <w:pPr>
              <w:spacing w:after="0"/>
              <w:rPr>
                <w:b/>
                <w:bCs/>
              </w:rPr>
            </w:pPr>
            <w:r w:rsidRPr="00FC5B6A">
              <w:rPr>
                <w:b/>
                <w:bCs/>
                <w:sz w:val="20"/>
                <w:szCs w:val="20"/>
              </w:rPr>
              <w:t xml:space="preserve">Amenazas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3022464D" w14:textId="0318A3CD" w:rsidR="1A24BF23" w:rsidRPr="00FC5B6A" w:rsidRDefault="1A24BF23" w:rsidP="1A24BF23">
            <w:pPr>
              <w:spacing w:after="0"/>
            </w:pPr>
            <w:r w:rsidRPr="00FC5B6A">
              <w:rPr>
                <w:sz w:val="20"/>
                <w:szCs w:val="20"/>
              </w:rPr>
              <w:t xml:space="preserve">Escenarios de Cambio climático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shd w:val="clear" w:color="auto" w:fill="D9E2F3" w:themeFill="accent1" w:themeFillTint="33"/>
            <w:tcMar>
              <w:top w:w="15" w:type="dxa"/>
              <w:left w:w="15" w:type="dxa"/>
              <w:right w:w="15" w:type="dxa"/>
            </w:tcMar>
            <w:vAlign w:val="bottom"/>
          </w:tcPr>
          <w:p w14:paraId="1BB36271" w14:textId="658A15C4" w:rsidR="1A24BF23" w:rsidRPr="00FC5B6A" w:rsidRDefault="1A24BF23" w:rsidP="1A24BF23">
            <w:pPr>
              <w:spacing w:after="0"/>
            </w:pPr>
            <w:r w:rsidRPr="00FC5B6A">
              <w:rPr>
                <w:sz w:val="20"/>
                <w:szCs w:val="20"/>
              </w:rPr>
              <w:t xml:space="preserve">5 </w:t>
            </w:r>
          </w:p>
        </w:tc>
      </w:tr>
      <w:tr w:rsidR="1A24BF23" w:rsidRPr="00FC5B6A" w14:paraId="044CC160"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tcMar>
              <w:top w:w="15" w:type="dxa"/>
              <w:left w:w="15" w:type="dxa"/>
              <w:right w:w="15" w:type="dxa"/>
            </w:tcMar>
            <w:vAlign w:val="bottom"/>
          </w:tcPr>
          <w:p w14:paraId="7A984FF4" w14:textId="1414DE4B" w:rsidR="1A24BF23" w:rsidRPr="00FC5B6A" w:rsidRDefault="1A24BF23" w:rsidP="1A24BF23">
            <w:pPr>
              <w:spacing w:after="0"/>
              <w:rPr>
                <w:b/>
                <w:bCs/>
              </w:rPr>
            </w:pPr>
            <w:r w:rsidRPr="00FC5B6A">
              <w:rPr>
                <w:b/>
                <w:bCs/>
                <w:sz w:val="20"/>
                <w:szCs w:val="20"/>
              </w:rPr>
              <w:t xml:space="preserve">Amenazas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Mar>
              <w:top w:w="15" w:type="dxa"/>
              <w:left w:w="15" w:type="dxa"/>
              <w:right w:w="15" w:type="dxa"/>
            </w:tcMar>
            <w:vAlign w:val="bottom"/>
          </w:tcPr>
          <w:p w14:paraId="54025A12" w14:textId="478DB31D" w:rsidR="1A24BF23" w:rsidRPr="00FC5B6A" w:rsidRDefault="1A24BF23" w:rsidP="1A24BF23">
            <w:pPr>
              <w:spacing w:after="0"/>
            </w:pPr>
            <w:r w:rsidRPr="00FC5B6A">
              <w:rPr>
                <w:sz w:val="20"/>
                <w:szCs w:val="20"/>
              </w:rPr>
              <w:t xml:space="preserve">Conflictos de uso del suelo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tcMar>
              <w:top w:w="15" w:type="dxa"/>
              <w:left w:w="15" w:type="dxa"/>
              <w:right w:w="15" w:type="dxa"/>
            </w:tcMar>
            <w:vAlign w:val="bottom"/>
          </w:tcPr>
          <w:p w14:paraId="7A16D0C3" w14:textId="6F35218F" w:rsidR="1A24BF23" w:rsidRPr="00FC5B6A" w:rsidRDefault="1A24BF23" w:rsidP="1A24BF23">
            <w:pPr>
              <w:spacing w:after="0"/>
            </w:pPr>
            <w:r w:rsidRPr="00FC5B6A">
              <w:rPr>
                <w:sz w:val="20"/>
                <w:szCs w:val="20"/>
              </w:rPr>
              <w:t xml:space="preserve">3 </w:t>
            </w:r>
          </w:p>
        </w:tc>
      </w:tr>
      <w:tr w:rsidR="1A24BF23" w:rsidRPr="00FC5B6A" w14:paraId="1183D93E"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4B85881F" w14:textId="4361EC9E" w:rsidR="1A24BF23" w:rsidRPr="00FC5B6A" w:rsidRDefault="1A24BF23" w:rsidP="1A24BF23">
            <w:pPr>
              <w:spacing w:after="0"/>
              <w:rPr>
                <w:b/>
                <w:bCs/>
              </w:rPr>
            </w:pPr>
            <w:r w:rsidRPr="00FC5B6A">
              <w:rPr>
                <w:b/>
                <w:bCs/>
                <w:sz w:val="20"/>
                <w:szCs w:val="20"/>
              </w:rPr>
              <w:t xml:space="preserve">Amenazas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0A8A6A49" w14:textId="27926D9C" w:rsidR="1A24BF23" w:rsidRPr="00FC5B6A" w:rsidRDefault="1A24BF23" w:rsidP="1A24BF23">
            <w:pPr>
              <w:spacing w:after="0"/>
            </w:pPr>
            <w:r w:rsidRPr="00FC5B6A">
              <w:rPr>
                <w:sz w:val="20"/>
                <w:szCs w:val="20"/>
              </w:rPr>
              <w:t xml:space="preserve">Cultivos ilícitos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shd w:val="clear" w:color="auto" w:fill="D9E2F3" w:themeFill="accent1" w:themeFillTint="33"/>
            <w:tcMar>
              <w:top w:w="15" w:type="dxa"/>
              <w:left w:w="15" w:type="dxa"/>
              <w:right w:w="15" w:type="dxa"/>
            </w:tcMar>
            <w:vAlign w:val="bottom"/>
          </w:tcPr>
          <w:p w14:paraId="27C73945" w14:textId="7039ED7B" w:rsidR="1A24BF23" w:rsidRPr="00FC5B6A" w:rsidRDefault="1A24BF23" w:rsidP="1A24BF23">
            <w:pPr>
              <w:spacing w:after="0"/>
            </w:pPr>
            <w:r w:rsidRPr="00FC5B6A">
              <w:rPr>
                <w:sz w:val="20"/>
                <w:szCs w:val="20"/>
              </w:rPr>
              <w:t xml:space="preserve">2 </w:t>
            </w:r>
          </w:p>
        </w:tc>
      </w:tr>
      <w:tr w:rsidR="1A24BF23" w:rsidRPr="00FC5B6A" w14:paraId="3D8A608D"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tcMar>
              <w:top w:w="15" w:type="dxa"/>
              <w:left w:w="15" w:type="dxa"/>
              <w:right w:w="15" w:type="dxa"/>
            </w:tcMar>
            <w:vAlign w:val="bottom"/>
          </w:tcPr>
          <w:p w14:paraId="5689196F" w14:textId="15235B71" w:rsidR="1A24BF23" w:rsidRPr="00FC5B6A" w:rsidRDefault="1A24BF23" w:rsidP="1A24BF23">
            <w:pPr>
              <w:spacing w:after="0"/>
              <w:rPr>
                <w:b/>
                <w:bCs/>
              </w:rPr>
            </w:pPr>
            <w:r w:rsidRPr="00FC5B6A">
              <w:rPr>
                <w:b/>
                <w:bCs/>
                <w:sz w:val="20"/>
                <w:szCs w:val="20"/>
              </w:rPr>
              <w:t xml:space="preserve">Amenazas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Mar>
              <w:top w:w="15" w:type="dxa"/>
              <w:left w:w="15" w:type="dxa"/>
              <w:right w:w="15" w:type="dxa"/>
            </w:tcMar>
            <w:vAlign w:val="bottom"/>
          </w:tcPr>
          <w:p w14:paraId="3EF0CA44" w14:textId="0448D56C" w:rsidR="1A24BF23" w:rsidRPr="00FC5B6A" w:rsidRDefault="1A24BF23" w:rsidP="1A24BF23">
            <w:pPr>
              <w:spacing w:after="0"/>
            </w:pPr>
            <w:r w:rsidRPr="00FC5B6A">
              <w:rPr>
                <w:sz w:val="20"/>
                <w:szCs w:val="20"/>
              </w:rPr>
              <w:t xml:space="preserve">Minería informal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tcMar>
              <w:top w:w="15" w:type="dxa"/>
              <w:left w:w="15" w:type="dxa"/>
              <w:right w:w="15" w:type="dxa"/>
            </w:tcMar>
            <w:vAlign w:val="bottom"/>
          </w:tcPr>
          <w:p w14:paraId="51038619" w14:textId="4A946E9D" w:rsidR="1A24BF23" w:rsidRPr="00FC5B6A" w:rsidRDefault="1A24BF23" w:rsidP="1A24BF23">
            <w:pPr>
              <w:spacing w:after="0"/>
            </w:pPr>
            <w:r w:rsidRPr="00FC5B6A">
              <w:rPr>
                <w:sz w:val="20"/>
                <w:szCs w:val="20"/>
              </w:rPr>
              <w:t xml:space="preserve">2 </w:t>
            </w:r>
          </w:p>
        </w:tc>
      </w:tr>
      <w:tr w:rsidR="1A24BF23" w:rsidRPr="00FC5B6A" w14:paraId="0C10EF8D"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2DEFEEB0" w14:textId="7DD5C9A9" w:rsidR="1A24BF23" w:rsidRPr="00FC5B6A" w:rsidRDefault="1A24BF23" w:rsidP="1A24BF23">
            <w:pPr>
              <w:spacing w:after="0"/>
              <w:rPr>
                <w:b/>
                <w:bCs/>
              </w:rPr>
            </w:pPr>
            <w:r w:rsidRPr="00FC5B6A">
              <w:rPr>
                <w:b/>
                <w:bCs/>
                <w:sz w:val="20"/>
                <w:szCs w:val="20"/>
              </w:rPr>
              <w:t xml:space="preserve">Amenazas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9E2F3" w:themeFill="accent1" w:themeFillTint="33"/>
            <w:tcMar>
              <w:top w:w="15" w:type="dxa"/>
              <w:left w:w="15" w:type="dxa"/>
              <w:right w:w="15" w:type="dxa"/>
            </w:tcMar>
            <w:vAlign w:val="bottom"/>
          </w:tcPr>
          <w:p w14:paraId="72229C10" w14:textId="5A94ECAE" w:rsidR="1A24BF23" w:rsidRPr="00FC5B6A" w:rsidRDefault="1A24BF23" w:rsidP="1A24BF23">
            <w:pPr>
              <w:spacing w:after="0"/>
            </w:pPr>
            <w:r w:rsidRPr="00FC5B6A">
              <w:rPr>
                <w:sz w:val="20"/>
                <w:szCs w:val="20"/>
              </w:rPr>
              <w:t xml:space="preserve">Vulnerabilidad Cambio climático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shd w:val="clear" w:color="auto" w:fill="D9E2F3" w:themeFill="accent1" w:themeFillTint="33"/>
            <w:tcMar>
              <w:top w:w="15" w:type="dxa"/>
              <w:left w:w="15" w:type="dxa"/>
              <w:right w:w="15" w:type="dxa"/>
            </w:tcMar>
            <w:vAlign w:val="bottom"/>
          </w:tcPr>
          <w:p w14:paraId="79870BE6" w14:textId="5F8E17B7" w:rsidR="1A24BF23" w:rsidRPr="00FC5B6A" w:rsidRDefault="1A24BF23" w:rsidP="1A24BF23">
            <w:pPr>
              <w:spacing w:after="0"/>
            </w:pPr>
            <w:r w:rsidRPr="00FC5B6A">
              <w:rPr>
                <w:sz w:val="20"/>
                <w:szCs w:val="20"/>
              </w:rPr>
              <w:t xml:space="preserve">3 </w:t>
            </w:r>
          </w:p>
        </w:tc>
      </w:tr>
      <w:tr w:rsidR="1A24BF23" w:rsidRPr="00FC5B6A" w14:paraId="66307354"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8EAADB" w:themeColor="accent1" w:themeTint="99"/>
              <w:right w:val="single" w:sz="4" w:space="0" w:color="8EAADB" w:themeColor="accent1" w:themeTint="99"/>
            </w:tcBorders>
            <w:tcMar>
              <w:top w:w="15" w:type="dxa"/>
              <w:left w:w="15" w:type="dxa"/>
              <w:right w:w="15" w:type="dxa"/>
            </w:tcMar>
            <w:vAlign w:val="bottom"/>
          </w:tcPr>
          <w:p w14:paraId="7282F596" w14:textId="1106AB3C" w:rsidR="1A24BF23" w:rsidRPr="00FC5B6A" w:rsidRDefault="1A24BF23" w:rsidP="1A24BF23">
            <w:pPr>
              <w:spacing w:after="0"/>
              <w:rPr>
                <w:b/>
                <w:bCs/>
              </w:rPr>
            </w:pPr>
            <w:r w:rsidRPr="00FC5B6A">
              <w:rPr>
                <w:b/>
                <w:bCs/>
                <w:sz w:val="20"/>
                <w:szCs w:val="20"/>
              </w:rPr>
              <w:t xml:space="preserve">Amenazas </w:t>
            </w:r>
          </w:p>
        </w:tc>
        <w:tc>
          <w:tcPr>
            <w:tcW w:w="2403"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Mar>
              <w:top w:w="15" w:type="dxa"/>
              <w:left w:w="15" w:type="dxa"/>
              <w:right w:w="15" w:type="dxa"/>
            </w:tcMar>
            <w:vAlign w:val="bottom"/>
          </w:tcPr>
          <w:p w14:paraId="405A9962" w14:textId="1931BC54" w:rsidR="1A24BF23" w:rsidRPr="00FC5B6A" w:rsidRDefault="1A24BF23" w:rsidP="1A24BF23">
            <w:pPr>
              <w:spacing w:after="0"/>
            </w:pPr>
            <w:r w:rsidRPr="00FC5B6A">
              <w:rPr>
                <w:sz w:val="20"/>
                <w:szCs w:val="20"/>
              </w:rPr>
              <w:t xml:space="preserve">Susceptibilidad a Deslizamientos  </w:t>
            </w:r>
          </w:p>
        </w:tc>
        <w:tc>
          <w:tcPr>
            <w:tcW w:w="222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000000" w:themeColor="text1"/>
            </w:tcBorders>
            <w:tcMar>
              <w:top w:w="15" w:type="dxa"/>
              <w:left w:w="15" w:type="dxa"/>
              <w:right w:w="15" w:type="dxa"/>
            </w:tcMar>
            <w:vAlign w:val="bottom"/>
          </w:tcPr>
          <w:p w14:paraId="2D051AA6" w14:textId="0874A397" w:rsidR="1A24BF23" w:rsidRPr="00FC5B6A" w:rsidRDefault="1A24BF23" w:rsidP="1A24BF23">
            <w:pPr>
              <w:spacing w:after="0"/>
            </w:pPr>
            <w:r w:rsidRPr="00FC5B6A">
              <w:rPr>
                <w:sz w:val="20"/>
                <w:szCs w:val="20"/>
              </w:rPr>
              <w:t xml:space="preserve">4 </w:t>
            </w:r>
          </w:p>
        </w:tc>
      </w:tr>
      <w:tr w:rsidR="1A24BF23" w:rsidRPr="00FC5B6A" w14:paraId="17182056" w14:textId="77777777" w:rsidTr="1A24BF23">
        <w:trPr>
          <w:trHeight w:val="300"/>
          <w:jc w:val="center"/>
        </w:trPr>
        <w:tc>
          <w:tcPr>
            <w:tcW w:w="1202" w:type="dxa"/>
            <w:tcBorders>
              <w:top w:val="single" w:sz="4" w:space="0" w:color="8EAADB" w:themeColor="accent1" w:themeTint="99"/>
              <w:left w:val="single" w:sz="4" w:space="0" w:color="000000" w:themeColor="text1"/>
              <w:bottom w:val="single" w:sz="4" w:space="0" w:color="000000" w:themeColor="text1"/>
              <w:right w:val="single" w:sz="4" w:space="0" w:color="8EAADB" w:themeColor="accent1" w:themeTint="99"/>
            </w:tcBorders>
            <w:shd w:val="clear" w:color="auto" w:fill="D9E2F3" w:themeFill="accent1" w:themeFillTint="33"/>
            <w:tcMar>
              <w:top w:w="15" w:type="dxa"/>
              <w:left w:w="15" w:type="dxa"/>
              <w:right w:w="15" w:type="dxa"/>
            </w:tcMar>
            <w:vAlign w:val="bottom"/>
          </w:tcPr>
          <w:p w14:paraId="63E7C631" w14:textId="3D0B8B80" w:rsidR="1A24BF23" w:rsidRPr="00FC5B6A" w:rsidRDefault="1A24BF23" w:rsidP="1A24BF23">
            <w:pPr>
              <w:spacing w:after="0"/>
              <w:rPr>
                <w:b/>
                <w:bCs/>
              </w:rPr>
            </w:pPr>
            <w:r w:rsidRPr="00FC5B6A">
              <w:rPr>
                <w:b/>
                <w:bCs/>
                <w:sz w:val="20"/>
                <w:szCs w:val="20"/>
              </w:rPr>
              <w:t xml:space="preserve">Amenazas </w:t>
            </w:r>
          </w:p>
        </w:tc>
        <w:tc>
          <w:tcPr>
            <w:tcW w:w="2403" w:type="dxa"/>
            <w:tcBorders>
              <w:top w:val="single" w:sz="4" w:space="0" w:color="8EAADB" w:themeColor="accent1" w:themeTint="99"/>
              <w:left w:val="single" w:sz="4" w:space="0" w:color="8EAADB" w:themeColor="accent1" w:themeTint="99"/>
              <w:bottom w:val="single" w:sz="4" w:space="0" w:color="000000" w:themeColor="text1"/>
              <w:right w:val="single" w:sz="4" w:space="0" w:color="8EAADB" w:themeColor="accent1" w:themeTint="99"/>
            </w:tcBorders>
            <w:shd w:val="clear" w:color="auto" w:fill="D9E2F3" w:themeFill="accent1" w:themeFillTint="33"/>
            <w:tcMar>
              <w:top w:w="15" w:type="dxa"/>
              <w:left w:w="15" w:type="dxa"/>
              <w:right w:w="15" w:type="dxa"/>
            </w:tcMar>
            <w:vAlign w:val="bottom"/>
          </w:tcPr>
          <w:p w14:paraId="3A2E4368" w14:textId="3A5A49FB" w:rsidR="1A24BF23" w:rsidRPr="00FC5B6A" w:rsidRDefault="1A24BF23" w:rsidP="1A24BF23">
            <w:pPr>
              <w:spacing w:after="0"/>
            </w:pPr>
            <w:r w:rsidRPr="00FC5B6A">
              <w:rPr>
                <w:sz w:val="20"/>
                <w:szCs w:val="20"/>
              </w:rPr>
              <w:t xml:space="preserve">Erosión  </w:t>
            </w:r>
          </w:p>
        </w:tc>
        <w:tc>
          <w:tcPr>
            <w:tcW w:w="2220" w:type="dxa"/>
            <w:tcBorders>
              <w:top w:val="single" w:sz="4" w:space="0" w:color="8EAADB" w:themeColor="accent1" w:themeTint="99"/>
              <w:left w:val="single" w:sz="4" w:space="0" w:color="8EAADB" w:themeColor="accent1" w:themeTint="99"/>
              <w:bottom w:val="single" w:sz="4" w:space="0" w:color="000000" w:themeColor="text1"/>
              <w:right w:val="single" w:sz="4" w:space="0" w:color="000000" w:themeColor="text1"/>
            </w:tcBorders>
            <w:shd w:val="clear" w:color="auto" w:fill="D9E2F3" w:themeFill="accent1" w:themeFillTint="33"/>
            <w:tcMar>
              <w:top w:w="15" w:type="dxa"/>
              <w:left w:w="15" w:type="dxa"/>
              <w:right w:w="15" w:type="dxa"/>
            </w:tcMar>
            <w:vAlign w:val="bottom"/>
          </w:tcPr>
          <w:p w14:paraId="15DE571E" w14:textId="179A39E0" w:rsidR="1A24BF23" w:rsidRPr="00FC5B6A" w:rsidRDefault="1A24BF23" w:rsidP="1A24BF23">
            <w:pPr>
              <w:spacing w:after="0"/>
            </w:pPr>
            <w:r w:rsidRPr="00FC5B6A">
              <w:rPr>
                <w:sz w:val="20"/>
                <w:szCs w:val="20"/>
              </w:rPr>
              <w:t>3</w:t>
            </w:r>
          </w:p>
        </w:tc>
      </w:tr>
    </w:tbl>
    <w:p w14:paraId="71A77D95" w14:textId="7B4C3FB9" w:rsidR="0088511D" w:rsidRPr="00FC5B6A" w:rsidRDefault="0088511D" w:rsidP="005A4F56">
      <w:pPr>
        <w:spacing w:after="0" w:line="276" w:lineRule="auto"/>
        <w:rPr>
          <w:rFonts w:eastAsiaTheme="majorEastAsia" w:cstheme="minorHAnsi"/>
          <w:noProof/>
          <w:color w:val="000000" w:themeColor="text1"/>
        </w:rPr>
      </w:pPr>
    </w:p>
    <w:p w14:paraId="4189B2B1" w14:textId="77777777" w:rsidR="0088511D" w:rsidRPr="00FC5B6A" w:rsidRDefault="0088511D" w:rsidP="009A2DBD">
      <w:pPr>
        <w:spacing w:after="0" w:line="276" w:lineRule="auto"/>
        <w:jc w:val="both"/>
        <w:rPr>
          <w:rFonts w:eastAsiaTheme="majorEastAsia" w:cstheme="minorHAnsi"/>
          <w:noProof/>
          <w:color w:val="000000" w:themeColor="text1"/>
          <w:sz w:val="18"/>
        </w:rPr>
      </w:pPr>
      <w:r w:rsidRPr="00FC5B6A">
        <w:rPr>
          <w:rFonts w:eastAsiaTheme="majorEastAsia" w:cstheme="minorHAnsi"/>
          <w:b/>
          <w:bCs/>
          <w:noProof/>
          <w:color w:val="000000" w:themeColor="text1"/>
          <w:sz w:val="18"/>
        </w:rPr>
        <w:t>Superior (a):</w:t>
      </w:r>
      <w:r w:rsidRPr="00FC5B6A">
        <w:rPr>
          <w:rFonts w:eastAsiaTheme="majorEastAsia" w:cstheme="minorHAnsi"/>
          <w:noProof/>
          <w:color w:val="000000" w:themeColor="text1"/>
          <w:sz w:val="18"/>
        </w:rPr>
        <w:t xml:space="preserve"> Dinámicas socioambientales espacializadas para la zonificación ambiental para el posconflicto.</w:t>
      </w:r>
    </w:p>
    <w:p w14:paraId="5A9909FD" w14:textId="77777777" w:rsidR="0088511D" w:rsidRPr="00FC5B6A" w:rsidRDefault="0088511D" w:rsidP="009A2DBD">
      <w:pPr>
        <w:spacing w:after="0" w:line="276" w:lineRule="auto"/>
        <w:jc w:val="both"/>
        <w:rPr>
          <w:rFonts w:eastAsiaTheme="majorEastAsia" w:cstheme="minorHAnsi"/>
          <w:noProof/>
          <w:color w:val="000000" w:themeColor="text1"/>
          <w:sz w:val="18"/>
        </w:rPr>
      </w:pPr>
      <w:r w:rsidRPr="00FC5B6A">
        <w:rPr>
          <w:rFonts w:eastAsiaTheme="majorEastAsia" w:cstheme="minorHAnsi"/>
          <w:b/>
          <w:bCs/>
          <w:noProof/>
          <w:color w:val="000000" w:themeColor="text1"/>
          <w:sz w:val="18"/>
        </w:rPr>
        <w:lastRenderedPageBreak/>
        <w:t>Inferior (b):</w:t>
      </w:r>
      <w:r w:rsidRPr="00FC5B6A">
        <w:rPr>
          <w:rFonts w:eastAsiaTheme="majorEastAsia" w:cstheme="minorHAnsi"/>
          <w:noProof/>
          <w:color w:val="000000" w:themeColor="text1"/>
          <w:sz w:val="18"/>
        </w:rPr>
        <w:t xml:space="preserve"> Ejemplo de ponderación de Dinámicas Socioambientales donde; 5: Mayor recurrencia y/o potencalmente severa; 3: Recurrencia intermedia y/o severidad potencial media; 1: Baja recurrencia y/o Severidad Potencial Baja</w:t>
      </w:r>
    </w:p>
    <w:p w14:paraId="5CC9435B" w14:textId="77777777" w:rsidR="0088511D" w:rsidRPr="00FC5B6A" w:rsidRDefault="0088511D" w:rsidP="0088511D">
      <w:pPr>
        <w:spacing w:after="0" w:line="276" w:lineRule="auto"/>
        <w:jc w:val="both"/>
        <w:rPr>
          <w:rFonts w:eastAsiaTheme="majorEastAsia" w:cstheme="minorHAnsi"/>
          <w:noProof/>
          <w:color w:val="000000" w:themeColor="text1"/>
        </w:rPr>
      </w:pPr>
    </w:p>
    <w:p w14:paraId="3029EDE6" w14:textId="3FB97CEF" w:rsidR="0088511D" w:rsidRPr="00FC5B6A" w:rsidRDefault="0088511D" w:rsidP="005A4F56">
      <w:pPr>
        <w:spacing w:after="0" w:line="240" w:lineRule="auto"/>
        <w:jc w:val="both"/>
        <w:rPr>
          <w:rFonts w:eastAsiaTheme="majorEastAsia"/>
          <w:noProof/>
          <w:color w:val="000000" w:themeColor="text1"/>
        </w:rPr>
      </w:pPr>
      <w:r w:rsidRPr="00FC5B6A">
        <w:rPr>
          <w:rFonts w:eastAsiaTheme="majorEastAsia"/>
          <w:noProof/>
          <w:color w:val="000000" w:themeColor="text1"/>
        </w:rPr>
        <w:t xml:space="preserve">La información de las presiones antrópicas fue igualmente espacializada en mapas que resumen la clasificación anteriomente explicada de Alto, Medio y Bajo, permitiendo así, evaluar los sectores de la subregión, donde se concentran la mayor y menor cantidad de dinámicas socio ambientales (presiones) que afectan la oferta de SS.EE . Tener incluido en la metodología de zonificación una aproximación a los dos principales elementos  de la relación socioecosistémica es funadamental para que el producto final considere realmente que si bien es fundamental asegurar un adecuado flujo de SS.EE, los seres humanos y su cultura estaremos allí interactuando con el paisaje para asegurar superviviencia y bienestar. </w:t>
      </w:r>
    </w:p>
    <w:p w14:paraId="53986359" w14:textId="77777777" w:rsidR="0088511D" w:rsidRPr="00FC5B6A" w:rsidRDefault="0088511D" w:rsidP="005A4F56">
      <w:pPr>
        <w:spacing w:after="0" w:line="240" w:lineRule="auto"/>
        <w:jc w:val="both"/>
        <w:rPr>
          <w:rFonts w:eastAsiaTheme="majorEastAsia" w:cstheme="minorHAnsi"/>
          <w:noProof/>
          <w:color w:val="000000" w:themeColor="text1"/>
        </w:rPr>
      </w:pPr>
    </w:p>
    <w:p w14:paraId="427FC483" w14:textId="64A8E565" w:rsidR="0088511D" w:rsidRPr="00FC5B6A" w:rsidRDefault="22DF84DA" w:rsidP="005A4F56">
      <w:pPr>
        <w:keepNext/>
        <w:spacing w:after="0" w:line="240" w:lineRule="auto"/>
        <w:jc w:val="both"/>
        <w:rPr>
          <w:rFonts w:eastAsiaTheme="majorEastAsia"/>
          <w:noProof/>
          <w:color w:val="000000" w:themeColor="text1"/>
        </w:rPr>
      </w:pPr>
      <w:bookmarkStart w:id="80" w:name="_Toc468460083"/>
      <w:bookmarkStart w:id="81" w:name="_Toc468716367"/>
      <w:r w:rsidRPr="00FC5B6A">
        <w:rPr>
          <w:rFonts w:eastAsiaTheme="majorEastAsia"/>
          <w:noProof/>
          <w:color w:val="000000" w:themeColor="text1"/>
        </w:rPr>
        <w:t xml:space="preserve">Las diferentes áreas dentro de cada una de las subregiones supremunicipales, que resulten categorizadas según sea la oferta de los SS.EE, la demanda de SS.EE y la ocurrencia de amenazas sobre esos SS.EE, será la clave para las propuestas de acción que permitan mantener o mejorar el bienestar humano, no sólo de los habiantes actuales de las subregiones, sino también de aquellos que puedan retornar gracias a los escenarios que se configueren luego del Acuerdo Final de Paz.  </w:t>
      </w:r>
    </w:p>
    <w:p w14:paraId="0FB20F4E" w14:textId="77777777" w:rsidR="0088511D" w:rsidRPr="00FC5B6A" w:rsidRDefault="0088511D" w:rsidP="005A4F56">
      <w:pPr>
        <w:spacing w:after="0" w:line="240" w:lineRule="auto"/>
        <w:jc w:val="both"/>
        <w:rPr>
          <w:rFonts w:eastAsiaTheme="majorEastAsia" w:cstheme="minorHAnsi"/>
          <w:noProof/>
          <w:color w:val="000000" w:themeColor="text1"/>
        </w:rPr>
      </w:pPr>
    </w:p>
    <w:p w14:paraId="3D01ED97" w14:textId="24A76390" w:rsidR="0088511D" w:rsidRPr="005A4F56" w:rsidRDefault="0088511D" w:rsidP="00B65467">
      <w:pPr>
        <w:pStyle w:val="Ttulo3"/>
        <w:numPr>
          <w:ilvl w:val="2"/>
          <w:numId w:val="20"/>
        </w:numPr>
        <w:rPr>
          <w:rFonts w:asciiTheme="minorHAnsi" w:hAnsiTheme="minorHAnsi" w:cstheme="minorHAnsi"/>
          <w:noProof/>
          <w:color w:val="2F5496" w:themeColor="accent1" w:themeShade="BF"/>
        </w:rPr>
      </w:pPr>
      <w:bookmarkStart w:id="82" w:name="_Toc468460084"/>
      <w:bookmarkStart w:id="83" w:name="_Toc468716368"/>
      <w:bookmarkStart w:id="84" w:name="_Toc478398819"/>
      <w:bookmarkStart w:id="85" w:name="_Toc72330020"/>
      <w:bookmarkStart w:id="86" w:name="_Toc186104582"/>
      <w:bookmarkStart w:id="87" w:name="_Toc224921365"/>
      <w:bookmarkEnd w:id="80"/>
      <w:bookmarkEnd w:id="81"/>
      <w:r w:rsidRPr="005A4F56">
        <w:rPr>
          <w:rFonts w:asciiTheme="minorHAnsi" w:hAnsiTheme="minorHAnsi" w:cstheme="minorHAnsi"/>
          <w:noProof/>
          <w:color w:val="2F5496" w:themeColor="accent1" w:themeShade="BF"/>
        </w:rPr>
        <w:t xml:space="preserve">ETAPA 3. </w:t>
      </w:r>
      <w:bookmarkStart w:id="88" w:name="_Toc478398821"/>
      <w:bookmarkEnd w:id="82"/>
      <w:bookmarkEnd w:id="83"/>
      <w:bookmarkEnd w:id="84"/>
      <w:r w:rsidRPr="005A4F56">
        <w:rPr>
          <w:rFonts w:asciiTheme="minorHAnsi" w:hAnsiTheme="minorHAnsi" w:cstheme="minorHAnsi"/>
          <w:noProof/>
          <w:color w:val="2F5496" w:themeColor="accent1" w:themeShade="BF"/>
        </w:rPr>
        <w:t>Categorización y Priorización de Áreas De Acuerdo con la Oferta de Servicios Ecosistémicos (SS.EE) y las Dinámicas Socio-Ambientales</w:t>
      </w:r>
      <w:bookmarkEnd w:id="85"/>
      <w:bookmarkEnd w:id="86"/>
      <w:bookmarkEnd w:id="87"/>
    </w:p>
    <w:p w14:paraId="04D91603" w14:textId="77777777" w:rsidR="00713E0C" w:rsidRPr="00FC5B6A" w:rsidRDefault="00713E0C" w:rsidP="005A4F56">
      <w:pPr>
        <w:spacing w:after="0" w:line="240" w:lineRule="auto"/>
        <w:jc w:val="both"/>
        <w:rPr>
          <w:rFonts w:eastAsiaTheme="majorEastAsia" w:cstheme="minorHAnsi"/>
          <w:noProof/>
          <w:color w:val="000000" w:themeColor="text1"/>
        </w:rPr>
      </w:pPr>
    </w:p>
    <w:p w14:paraId="60AB84F2" w14:textId="6BD68B13" w:rsidR="0088511D" w:rsidRDefault="0088511D" w:rsidP="005A4F56">
      <w:pPr>
        <w:spacing w:after="0" w:line="240" w:lineRule="auto"/>
        <w:jc w:val="both"/>
        <w:rPr>
          <w:rFonts w:eastAsiaTheme="majorEastAsia" w:cstheme="minorHAnsi"/>
          <w:noProof/>
          <w:color w:val="000000" w:themeColor="text1"/>
        </w:rPr>
      </w:pPr>
      <w:r w:rsidRPr="00FC5B6A">
        <w:rPr>
          <w:rFonts w:eastAsiaTheme="majorEastAsia" w:cstheme="minorHAnsi"/>
          <w:noProof/>
          <w:color w:val="000000" w:themeColor="text1"/>
        </w:rPr>
        <w:t>Siguiendo la metodología propuesta, se generaron los mapas síntesis a escala 1:100.000 de cada subregión</w:t>
      </w:r>
      <w:r w:rsidR="00552054" w:rsidRPr="00FC5B6A">
        <w:rPr>
          <w:rFonts w:eastAsiaTheme="majorEastAsia" w:cstheme="minorHAnsi"/>
          <w:noProof/>
          <w:color w:val="000000" w:themeColor="text1"/>
        </w:rPr>
        <w:t xml:space="preserve"> supramunicipal</w:t>
      </w:r>
      <w:r w:rsidRPr="00FC5B6A">
        <w:rPr>
          <w:rFonts w:eastAsiaTheme="majorEastAsia" w:cstheme="minorHAnsi"/>
          <w:noProof/>
          <w:color w:val="000000" w:themeColor="text1"/>
        </w:rPr>
        <w:t xml:space="preserve">, donde se compila la respuesta obtenida para cada una de las variables analizadas (oferta de SS.EE y dinámicas Socio Ambientales expresadas por las presiones -amenazas y demanda-). De esta forma, se clasifica cada municipio en nueve (9) tipologías que resumen el cruce entre variables y que definen rutas de manejo para mantener, mejorar o recuperar los SS.EE claves para la población local (Tabla </w:t>
      </w:r>
      <w:r w:rsidR="00F3487C" w:rsidRPr="00FC5B6A">
        <w:rPr>
          <w:rFonts w:eastAsiaTheme="majorEastAsia" w:cstheme="minorHAnsi"/>
          <w:noProof/>
          <w:color w:val="000000" w:themeColor="text1"/>
        </w:rPr>
        <w:t>7</w:t>
      </w:r>
      <w:r w:rsidRPr="00FC5B6A">
        <w:rPr>
          <w:rFonts w:eastAsiaTheme="majorEastAsia" w:cstheme="minorHAnsi"/>
          <w:noProof/>
          <w:color w:val="000000" w:themeColor="text1"/>
        </w:rPr>
        <w:t>), donde todas las coberturas son útiles para fines de mantenimiento y fortalecimiento de la oferta de SS.EE (aunque sí existen algunos elementos fundamentales para asegurar dicha oferta); los cuales son clave para la verdadera conciliación y compatibilización de los sistemas productivos y extractivos, con las vocaciones de uso del suelo para preservación, así ésta no sea en todos las áreas del territorio de la misma manera e intensidad.</w:t>
      </w:r>
    </w:p>
    <w:p w14:paraId="0C825FBC" w14:textId="77777777" w:rsidR="005A4F56" w:rsidRPr="00FC5B6A" w:rsidRDefault="005A4F56" w:rsidP="005A4F56">
      <w:pPr>
        <w:spacing w:after="0" w:line="240" w:lineRule="auto"/>
        <w:jc w:val="both"/>
        <w:rPr>
          <w:rFonts w:eastAsiaTheme="majorEastAsia" w:cstheme="minorHAnsi"/>
          <w:noProof/>
          <w:color w:val="000000" w:themeColor="text1"/>
        </w:rPr>
      </w:pPr>
    </w:p>
    <w:p w14:paraId="20A24B38" w14:textId="1E7D98ED" w:rsidR="00F35552" w:rsidRDefault="00F35552" w:rsidP="005A4F56">
      <w:pPr>
        <w:spacing w:after="0" w:line="240" w:lineRule="auto"/>
        <w:jc w:val="both"/>
        <w:rPr>
          <w:rFonts w:eastAsiaTheme="majorEastAsia" w:cstheme="minorHAnsi"/>
          <w:noProof/>
          <w:color w:val="000000" w:themeColor="text1"/>
        </w:rPr>
      </w:pPr>
      <w:r w:rsidRPr="00FC5B6A">
        <w:rPr>
          <w:rFonts w:eastAsiaTheme="majorEastAsia" w:cstheme="minorHAnsi"/>
          <w:noProof/>
          <w:color w:val="000000" w:themeColor="text1"/>
        </w:rPr>
        <w:t xml:space="preserve">El Cruce de las respuestas del ejercicio de ponderación de cada una de las variables analizadas para definir las áreas prioritarias  para el mantenimiento y fortalecimiento de la oferta de SS.EE, así como también de los procesos de conciliación y compatibilización de los sistemas productivos y extractivos con las vocaciones naturales de uso del suelo, ver Tabla </w:t>
      </w:r>
      <w:r w:rsidR="000C325D">
        <w:rPr>
          <w:rFonts w:eastAsiaTheme="majorEastAsia" w:cstheme="minorHAnsi"/>
          <w:noProof/>
          <w:color w:val="000000" w:themeColor="text1"/>
        </w:rPr>
        <w:t>9</w:t>
      </w:r>
      <w:r w:rsidRPr="00FC5B6A">
        <w:rPr>
          <w:rFonts w:eastAsiaTheme="majorEastAsia" w:cstheme="minorHAnsi"/>
          <w:noProof/>
          <w:color w:val="000000" w:themeColor="text1"/>
        </w:rPr>
        <w:t>.</w:t>
      </w:r>
    </w:p>
    <w:p w14:paraId="55BBD7D6" w14:textId="77777777" w:rsidR="005A4F56" w:rsidRPr="00FC5B6A" w:rsidRDefault="005A4F56" w:rsidP="005A4F56">
      <w:pPr>
        <w:spacing w:after="0" w:line="240" w:lineRule="auto"/>
        <w:jc w:val="both"/>
        <w:rPr>
          <w:rFonts w:eastAsiaTheme="majorEastAsia" w:cstheme="minorHAnsi"/>
          <w:noProof/>
          <w:color w:val="000000" w:themeColor="text1"/>
        </w:rPr>
      </w:pPr>
    </w:p>
    <w:p w14:paraId="2F182B4E" w14:textId="2B63E131" w:rsidR="0088511D" w:rsidRPr="00FC5B6A" w:rsidRDefault="0088511D" w:rsidP="00552054">
      <w:pPr>
        <w:keepNext/>
        <w:spacing w:after="0" w:line="276" w:lineRule="auto"/>
        <w:ind w:left="360"/>
        <w:jc w:val="center"/>
        <w:rPr>
          <w:rFonts w:cstheme="minorHAnsi"/>
          <w:bCs/>
          <w:sz w:val="20"/>
          <w:szCs w:val="16"/>
        </w:rPr>
      </w:pPr>
      <w:bookmarkStart w:id="89" w:name="_Toc478482921"/>
      <w:bookmarkStart w:id="90" w:name="_Toc170124921"/>
      <w:r w:rsidRPr="00FC5B6A">
        <w:rPr>
          <w:rFonts w:cstheme="minorHAnsi"/>
          <w:bCs/>
          <w:sz w:val="20"/>
          <w:szCs w:val="16"/>
        </w:rPr>
        <w:t xml:space="preserve">Tabla </w:t>
      </w:r>
      <w:r w:rsidRPr="00FC5B6A">
        <w:rPr>
          <w:rFonts w:cstheme="minorHAnsi"/>
          <w:bCs/>
          <w:sz w:val="20"/>
          <w:szCs w:val="16"/>
        </w:rPr>
        <w:fldChar w:fldCharType="begin"/>
      </w:r>
      <w:r w:rsidRPr="00FC5B6A">
        <w:rPr>
          <w:rFonts w:cstheme="minorHAnsi"/>
          <w:bCs/>
          <w:sz w:val="20"/>
          <w:szCs w:val="16"/>
        </w:rPr>
        <w:instrText xml:space="preserve"> SEQ Tabla \* ARABIC </w:instrText>
      </w:r>
      <w:r w:rsidRPr="00FC5B6A">
        <w:rPr>
          <w:rFonts w:cstheme="minorHAnsi"/>
          <w:bCs/>
          <w:sz w:val="20"/>
          <w:szCs w:val="16"/>
        </w:rPr>
        <w:fldChar w:fldCharType="separate"/>
      </w:r>
      <w:r w:rsidR="000C325D">
        <w:rPr>
          <w:rFonts w:cstheme="minorHAnsi"/>
          <w:bCs/>
          <w:noProof/>
          <w:sz w:val="20"/>
          <w:szCs w:val="16"/>
        </w:rPr>
        <w:t>9</w:t>
      </w:r>
      <w:r w:rsidRPr="00FC5B6A">
        <w:rPr>
          <w:rFonts w:cstheme="minorHAnsi"/>
          <w:bCs/>
          <w:sz w:val="20"/>
          <w:szCs w:val="16"/>
        </w:rPr>
        <w:fldChar w:fldCharType="end"/>
      </w:r>
      <w:r w:rsidRPr="00FC5B6A">
        <w:rPr>
          <w:rFonts w:cstheme="minorHAnsi"/>
          <w:bCs/>
          <w:sz w:val="20"/>
          <w:szCs w:val="16"/>
        </w:rPr>
        <w:t xml:space="preserve">. </w:t>
      </w:r>
      <w:bookmarkStart w:id="91" w:name="_Hlk170123371"/>
      <w:r w:rsidRPr="00FC5B6A">
        <w:rPr>
          <w:rFonts w:cstheme="minorHAnsi"/>
          <w:bCs/>
          <w:sz w:val="20"/>
          <w:szCs w:val="16"/>
        </w:rPr>
        <w:t>Cruce de las respuestas del ejercicio de ponderación</w:t>
      </w:r>
      <w:bookmarkEnd w:id="89"/>
      <w:bookmarkEnd w:id="90"/>
      <w:bookmarkEnd w:id="91"/>
    </w:p>
    <w:tbl>
      <w:tblPr>
        <w:tblStyle w:val="Tablaconcuadrcula6concolores-nfasis1"/>
        <w:tblW w:w="6440" w:type="dxa"/>
        <w:jc w:val="center"/>
        <w:tblLook w:val="04A0" w:firstRow="1" w:lastRow="0" w:firstColumn="1" w:lastColumn="0" w:noHBand="0" w:noVBand="1"/>
      </w:tblPr>
      <w:tblGrid>
        <w:gridCol w:w="1200"/>
        <w:gridCol w:w="1640"/>
        <w:gridCol w:w="1088"/>
        <w:gridCol w:w="1444"/>
        <w:gridCol w:w="1068"/>
      </w:tblGrid>
      <w:tr w:rsidR="0088511D" w:rsidRPr="00FC5B6A" w14:paraId="223E3184" w14:textId="77777777" w:rsidTr="00D56EE9">
        <w:trPr>
          <w:cnfStyle w:val="100000000000" w:firstRow="1" w:lastRow="0" w:firstColumn="0" w:lastColumn="0" w:oddVBand="0" w:evenVBand="0" w:oddHBand="0" w:evenHBand="0" w:firstRowFirstColumn="0" w:firstRowLastColumn="0" w:lastRowFirstColumn="0" w:lastRowLastColumn="0"/>
          <w:trHeight w:val="675"/>
          <w:jc w:val="center"/>
        </w:trPr>
        <w:tc>
          <w:tcPr>
            <w:cnfStyle w:val="001000000000" w:firstRow="0" w:lastRow="0" w:firstColumn="1" w:lastColumn="0" w:oddVBand="0" w:evenVBand="0" w:oddHBand="0" w:evenHBand="0" w:firstRowFirstColumn="0" w:firstRowLastColumn="0" w:lastRowFirstColumn="0" w:lastRowLastColumn="0"/>
            <w:tcW w:w="2840" w:type="dxa"/>
            <w:gridSpan w:val="2"/>
            <w:vMerge w:val="restart"/>
            <w:noWrap/>
            <w:hideMark/>
          </w:tcPr>
          <w:p w14:paraId="4D421EAF" w14:textId="77777777" w:rsidR="0088511D" w:rsidRPr="00FC5B6A" w:rsidRDefault="0088511D" w:rsidP="00D56EE9">
            <w:pPr>
              <w:spacing w:before="0"/>
              <w:jc w:val="center"/>
              <w:rPr>
                <w:rFonts w:eastAsia="Times New Roman" w:cstheme="minorHAnsi"/>
                <w:color w:val="000000" w:themeColor="text1"/>
                <w:sz w:val="22"/>
                <w:szCs w:val="22"/>
                <w:lang w:val="es-CO" w:eastAsia="es-CO"/>
              </w:rPr>
            </w:pPr>
          </w:p>
        </w:tc>
        <w:tc>
          <w:tcPr>
            <w:tcW w:w="3600" w:type="dxa"/>
            <w:gridSpan w:val="3"/>
            <w:hideMark/>
          </w:tcPr>
          <w:p w14:paraId="7CA0071F" w14:textId="77777777" w:rsidR="0088511D" w:rsidRPr="00FC5B6A" w:rsidRDefault="0088511D" w:rsidP="00D56EE9">
            <w:pPr>
              <w:spacing w:before="0"/>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themeColor="text1"/>
                <w:sz w:val="22"/>
                <w:szCs w:val="22"/>
                <w:lang w:val="es-CO" w:eastAsia="es-CO"/>
              </w:rPr>
            </w:pPr>
            <w:r w:rsidRPr="00FC5B6A">
              <w:rPr>
                <w:rFonts w:eastAsia="Times New Roman" w:cstheme="minorHAnsi"/>
                <w:color w:val="000000" w:themeColor="text1"/>
                <w:sz w:val="22"/>
                <w:szCs w:val="22"/>
                <w:lang w:val="es-CO" w:eastAsia="es-CO"/>
              </w:rPr>
              <w:t>Dinámicas Socio Ambientales (Presiones)</w:t>
            </w:r>
          </w:p>
        </w:tc>
      </w:tr>
      <w:tr w:rsidR="0088511D" w:rsidRPr="00FC5B6A" w14:paraId="60A0B73B" w14:textId="77777777" w:rsidTr="00D56EE9">
        <w:trPr>
          <w:cnfStyle w:val="000000100000" w:firstRow="0" w:lastRow="0" w:firstColumn="0" w:lastColumn="0" w:oddVBand="0" w:evenVBand="0" w:oddHBand="1"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2840" w:type="dxa"/>
            <w:gridSpan w:val="2"/>
            <w:vMerge/>
            <w:hideMark/>
          </w:tcPr>
          <w:p w14:paraId="46FE552B" w14:textId="77777777" w:rsidR="0088511D" w:rsidRPr="00FC5B6A" w:rsidRDefault="0088511D" w:rsidP="00D56EE9">
            <w:pPr>
              <w:spacing w:before="0"/>
              <w:rPr>
                <w:rFonts w:eastAsia="Times New Roman" w:cstheme="minorHAnsi"/>
                <w:color w:val="000000" w:themeColor="text1"/>
                <w:sz w:val="22"/>
                <w:szCs w:val="22"/>
                <w:lang w:val="es-CO" w:eastAsia="es-CO"/>
              </w:rPr>
            </w:pPr>
          </w:p>
        </w:tc>
        <w:tc>
          <w:tcPr>
            <w:tcW w:w="1088" w:type="dxa"/>
            <w:noWrap/>
            <w:hideMark/>
          </w:tcPr>
          <w:p w14:paraId="26161FA6" w14:textId="77777777" w:rsidR="0088511D" w:rsidRPr="00FC5B6A" w:rsidRDefault="0088511D" w:rsidP="00D56EE9">
            <w:pPr>
              <w:spacing w:before="0"/>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ALTA</w:t>
            </w:r>
          </w:p>
        </w:tc>
        <w:tc>
          <w:tcPr>
            <w:tcW w:w="1444" w:type="dxa"/>
            <w:noWrap/>
            <w:hideMark/>
          </w:tcPr>
          <w:p w14:paraId="39C8F2A8" w14:textId="77777777" w:rsidR="0088511D" w:rsidRPr="00FC5B6A" w:rsidRDefault="0088511D" w:rsidP="00D56EE9">
            <w:pPr>
              <w:spacing w:before="0"/>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MEDIA</w:t>
            </w:r>
          </w:p>
        </w:tc>
        <w:tc>
          <w:tcPr>
            <w:tcW w:w="1068" w:type="dxa"/>
            <w:noWrap/>
            <w:hideMark/>
          </w:tcPr>
          <w:p w14:paraId="6D11D837" w14:textId="77777777" w:rsidR="0088511D" w:rsidRPr="00FC5B6A" w:rsidRDefault="0088511D" w:rsidP="00D56EE9">
            <w:pPr>
              <w:spacing w:before="0"/>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BAJA</w:t>
            </w:r>
          </w:p>
        </w:tc>
      </w:tr>
      <w:tr w:rsidR="0088511D" w:rsidRPr="00FC5B6A" w14:paraId="4D7EC7E7" w14:textId="77777777" w:rsidTr="00D56EE9">
        <w:trPr>
          <w:trHeight w:val="330"/>
          <w:jc w:val="center"/>
        </w:trPr>
        <w:tc>
          <w:tcPr>
            <w:cnfStyle w:val="001000000000" w:firstRow="0" w:lastRow="0" w:firstColumn="1" w:lastColumn="0" w:oddVBand="0" w:evenVBand="0" w:oddHBand="0" w:evenHBand="0" w:firstRowFirstColumn="0" w:firstRowLastColumn="0" w:lastRowFirstColumn="0" w:lastRowLastColumn="0"/>
            <w:tcW w:w="1200" w:type="dxa"/>
            <w:vMerge w:val="restart"/>
            <w:hideMark/>
          </w:tcPr>
          <w:p w14:paraId="10A23903" w14:textId="77777777" w:rsidR="0088511D" w:rsidRPr="00FC5B6A" w:rsidRDefault="0088511D" w:rsidP="00D56EE9">
            <w:pPr>
              <w:spacing w:before="0"/>
              <w:jc w:val="center"/>
              <w:rPr>
                <w:rFonts w:eastAsia="Times New Roman" w:cstheme="minorHAnsi"/>
                <w:color w:val="000000" w:themeColor="text1"/>
                <w:sz w:val="22"/>
                <w:szCs w:val="22"/>
                <w:lang w:val="es-CO" w:eastAsia="es-CO"/>
              </w:rPr>
            </w:pPr>
            <w:r w:rsidRPr="00FC5B6A">
              <w:rPr>
                <w:rFonts w:eastAsia="Times New Roman" w:cstheme="minorHAnsi"/>
                <w:color w:val="000000" w:themeColor="text1"/>
                <w:sz w:val="22"/>
                <w:szCs w:val="22"/>
                <w:lang w:val="es-CO" w:eastAsia="es-CO"/>
              </w:rPr>
              <w:t>OFERTA SS.EE</w:t>
            </w:r>
          </w:p>
        </w:tc>
        <w:tc>
          <w:tcPr>
            <w:tcW w:w="1640" w:type="dxa"/>
            <w:noWrap/>
            <w:hideMark/>
          </w:tcPr>
          <w:p w14:paraId="3A71F51E" w14:textId="77777777" w:rsidR="0088511D" w:rsidRPr="00FC5B6A" w:rsidRDefault="0088511D" w:rsidP="00D56EE9">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ALTA</w:t>
            </w:r>
          </w:p>
        </w:tc>
        <w:tc>
          <w:tcPr>
            <w:tcW w:w="1088" w:type="dxa"/>
            <w:noWrap/>
            <w:hideMark/>
          </w:tcPr>
          <w:p w14:paraId="40D54F3F" w14:textId="77777777" w:rsidR="0088511D" w:rsidRPr="00FC5B6A" w:rsidRDefault="0088511D" w:rsidP="00D56EE9">
            <w:pPr>
              <w:spacing w:before="0"/>
              <w:jc w:val="both"/>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AA</w:t>
            </w:r>
          </w:p>
        </w:tc>
        <w:tc>
          <w:tcPr>
            <w:tcW w:w="1444" w:type="dxa"/>
            <w:noWrap/>
            <w:hideMark/>
          </w:tcPr>
          <w:p w14:paraId="524E0B70" w14:textId="77777777" w:rsidR="0088511D" w:rsidRPr="00FC5B6A" w:rsidRDefault="0088511D" w:rsidP="00D56EE9">
            <w:pPr>
              <w:spacing w:before="0"/>
              <w:jc w:val="both"/>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AM</w:t>
            </w:r>
          </w:p>
        </w:tc>
        <w:tc>
          <w:tcPr>
            <w:tcW w:w="1068" w:type="dxa"/>
            <w:noWrap/>
            <w:hideMark/>
          </w:tcPr>
          <w:p w14:paraId="1719A294" w14:textId="77777777" w:rsidR="0088511D" w:rsidRPr="00FC5B6A" w:rsidRDefault="0088511D" w:rsidP="00D56EE9">
            <w:pPr>
              <w:spacing w:before="0"/>
              <w:jc w:val="both"/>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AB</w:t>
            </w:r>
          </w:p>
        </w:tc>
      </w:tr>
      <w:tr w:rsidR="0088511D" w:rsidRPr="00FC5B6A" w14:paraId="1384F54C" w14:textId="77777777" w:rsidTr="00D56EE9">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1200" w:type="dxa"/>
            <w:vMerge/>
            <w:hideMark/>
          </w:tcPr>
          <w:p w14:paraId="13C7D558" w14:textId="77777777" w:rsidR="0088511D" w:rsidRPr="00FC5B6A" w:rsidRDefault="0088511D" w:rsidP="00D56EE9">
            <w:pPr>
              <w:spacing w:before="0"/>
              <w:rPr>
                <w:rFonts w:eastAsia="Times New Roman" w:cstheme="minorHAnsi"/>
                <w:color w:val="000000" w:themeColor="text1"/>
                <w:sz w:val="22"/>
                <w:szCs w:val="22"/>
                <w:lang w:val="es-CO" w:eastAsia="es-CO"/>
              </w:rPr>
            </w:pPr>
          </w:p>
        </w:tc>
        <w:tc>
          <w:tcPr>
            <w:tcW w:w="1640" w:type="dxa"/>
            <w:noWrap/>
            <w:hideMark/>
          </w:tcPr>
          <w:p w14:paraId="74503E13" w14:textId="77777777" w:rsidR="0088511D" w:rsidRPr="00FC5B6A" w:rsidRDefault="0088511D" w:rsidP="00D56EE9">
            <w:pPr>
              <w:spacing w:before="0"/>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MEDIA</w:t>
            </w:r>
          </w:p>
        </w:tc>
        <w:tc>
          <w:tcPr>
            <w:tcW w:w="1088" w:type="dxa"/>
            <w:noWrap/>
            <w:hideMark/>
          </w:tcPr>
          <w:p w14:paraId="456A4614" w14:textId="77777777" w:rsidR="0088511D" w:rsidRPr="00FC5B6A" w:rsidRDefault="0088511D" w:rsidP="00D56EE9">
            <w:pPr>
              <w:spacing w:before="0"/>
              <w:jc w:val="both"/>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MA</w:t>
            </w:r>
          </w:p>
        </w:tc>
        <w:tc>
          <w:tcPr>
            <w:tcW w:w="1444" w:type="dxa"/>
            <w:noWrap/>
            <w:hideMark/>
          </w:tcPr>
          <w:p w14:paraId="190F4BC1" w14:textId="77777777" w:rsidR="0088511D" w:rsidRPr="00FC5B6A" w:rsidRDefault="0088511D" w:rsidP="00D56EE9">
            <w:pPr>
              <w:spacing w:before="0"/>
              <w:jc w:val="both"/>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MM</w:t>
            </w:r>
          </w:p>
        </w:tc>
        <w:tc>
          <w:tcPr>
            <w:tcW w:w="1068" w:type="dxa"/>
            <w:noWrap/>
            <w:hideMark/>
          </w:tcPr>
          <w:p w14:paraId="7AD9E075" w14:textId="77777777" w:rsidR="0088511D" w:rsidRPr="00FC5B6A" w:rsidRDefault="0088511D" w:rsidP="00D56EE9">
            <w:pPr>
              <w:spacing w:before="0"/>
              <w:jc w:val="both"/>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MB</w:t>
            </w:r>
          </w:p>
        </w:tc>
      </w:tr>
      <w:tr w:rsidR="0088511D" w:rsidRPr="00FC5B6A" w14:paraId="478C8EEC" w14:textId="77777777" w:rsidTr="00D56EE9">
        <w:trPr>
          <w:trHeight w:val="330"/>
          <w:jc w:val="center"/>
        </w:trPr>
        <w:tc>
          <w:tcPr>
            <w:cnfStyle w:val="001000000000" w:firstRow="0" w:lastRow="0" w:firstColumn="1" w:lastColumn="0" w:oddVBand="0" w:evenVBand="0" w:oddHBand="0" w:evenHBand="0" w:firstRowFirstColumn="0" w:firstRowLastColumn="0" w:lastRowFirstColumn="0" w:lastRowLastColumn="0"/>
            <w:tcW w:w="1200" w:type="dxa"/>
            <w:vMerge/>
            <w:hideMark/>
          </w:tcPr>
          <w:p w14:paraId="6EC323C5" w14:textId="77777777" w:rsidR="0088511D" w:rsidRPr="00FC5B6A" w:rsidRDefault="0088511D" w:rsidP="00D56EE9">
            <w:pPr>
              <w:spacing w:before="0"/>
              <w:rPr>
                <w:rFonts w:eastAsia="Times New Roman" w:cstheme="minorHAnsi"/>
                <w:color w:val="000000" w:themeColor="text1"/>
                <w:sz w:val="22"/>
                <w:szCs w:val="22"/>
                <w:lang w:val="es-CO" w:eastAsia="es-CO"/>
              </w:rPr>
            </w:pPr>
          </w:p>
        </w:tc>
        <w:tc>
          <w:tcPr>
            <w:tcW w:w="1640" w:type="dxa"/>
            <w:noWrap/>
            <w:hideMark/>
          </w:tcPr>
          <w:p w14:paraId="4F40417D" w14:textId="77777777" w:rsidR="0088511D" w:rsidRPr="00FC5B6A" w:rsidRDefault="0088511D" w:rsidP="00D56EE9">
            <w:pPr>
              <w:spacing w:before="0"/>
              <w:jc w:val="cente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BAJA</w:t>
            </w:r>
          </w:p>
        </w:tc>
        <w:tc>
          <w:tcPr>
            <w:tcW w:w="1088" w:type="dxa"/>
            <w:noWrap/>
            <w:hideMark/>
          </w:tcPr>
          <w:p w14:paraId="6F1D3B3D" w14:textId="77777777" w:rsidR="0088511D" w:rsidRPr="00FC5B6A" w:rsidRDefault="0088511D" w:rsidP="00D56EE9">
            <w:pPr>
              <w:spacing w:before="0"/>
              <w:jc w:val="both"/>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BA</w:t>
            </w:r>
          </w:p>
        </w:tc>
        <w:tc>
          <w:tcPr>
            <w:tcW w:w="1444" w:type="dxa"/>
            <w:noWrap/>
            <w:hideMark/>
          </w:tcPr>
          <w:p w14:paraId="4F768367" w14:textId="77777777" w:rsidR="0088511D" w:rsidRPr="00FC5B6A" w:rsidRDefault="0088511D" w:rsidP="00D56EE9">
            <w:pPr>
              <w:spacing w:before="0"/>
              <w:jc w:val="both"/>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BM</w:t>
            </w:r>
          </w:p>
        </w:tc>
        <w:tc>
          <w:tcPr>
            <w:tcW w:w="1068" w:type="dxa"/>
            <w:noWrap/>
            <w:hideMark/>
          </w:tcPr>
          <w:p w14:paraId="109BE428" w14:textId="77777777" w:rsidR="0088511D" w:rsidRPr="00FC5B6A" w:rsidRDefault="0088511D" w:rsidP="00D56EE9">
            <w:pPr>
              <w:spacing w:before="0"/>
              <w:jc w:val="both"/>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eastAsia="es-CO"/>
              </w:rPr>
            </w:pPr>
            <w:r w:rsidRPr="00FC5B6A">
              <w:rPr>
                <w:rFonts w:eastAsia="Times New Roman" w:cstheme="minorHAnsi"/>
                <w:color w:val="000000" w:themeColor="text1"/>
                <w:lang w:val="es-CO" w:eastAsia="es-CO"/>
              </w:rPr>
              <w:t>BB</w:t>
            </w:r>
          </w:p>
        </w:tc>
      </w:tr>
    </w:tbl>
    <w:p w14:paraId="7653DD01" w14:textId="77777777" w:rsidR="0088511D" w:rsidRPr="00FC5B6A" w:rsidRDefault="0088511D" w:rsidP="0088511D">
      <w:pPr>
        <w:spacing w:after="0" w:line="276" w:lineRule="auto"/>
        <w:jc w:val="both"/>
        <w:rPr>
          <w:rFonts w:eastAsiaTheme="majorEastAsia" w:cstheme="minorHAnsi"/>
          <w:noProof/>
          <w:color w:val="000000" w:themeColor="text1"/>
        </w:rPr>
      </w:pPr>
    </w:p>
    <w:p w14:paraId="0BC296BA" w14:textId="5D87B727" w:rsidR="0088511D" w:rsidRPr="005A4F56" w:rsidRDefault="0088511D" w:rsidP="00B65467">
      <w:pPr>
        <w:pStyle w:val="Ttulo3"/>
        <w:numPr>
          <w:ilvl w:val="2"/>
          <w:numId w:val="20"/>
        </w:numPr>
        <w:rPr>
          <w:rFonts w:asciiTheme="minorHAnsi" w:hAnsiTheme="minorHAnsi" w:cstheme="minorHAnsi"/>
          <w:b/>
          <w:bCs/>
          <w:color w:val="000000" w:themeColor="text1"/>
        </w:rPr>
      </w:pPr>
      <w:bookmarkStart w:id="92" w:name="_Toc72330021"/>
      <w:bookmarkStart w:id="93" w:name="_Toc186104583"/>
      <w:bookmarkStart w:id="94" w:name="_Toc224921366"/>
      <w:r w:rsidRPr="005A4F56">
        <w:rPr>
          <w:rFonts w:asciiTheme="minorHAnsi" w:hAnsiTheme="minorHAnsi" w:cstheme="minorHAnsi"/>
          <w:b/>
          <w:bCs/>
          <w:color w:val="000000" w:themeColor="text1"/>
        </w:rPr>
        <w:t>ETAPA 4. Identificación de Áreas de Especial Interés Ambiental</w:t>
      </w:r>
      <w:bookmarkEnd w:id="88"/>
      <w:r w:rsidRPr="005A4F56">
        <w:rPr>
          <w:rFonts w:asciiTheme="minorHAnsi" w:hAnsiTheme="minorHAnsi" w:cstheme="minorHAnsi"/>
          <w:b/>
          <w:bCs/>
          <w:color w:val="000000" w:themeColor="text1"/>
        </w:rPr>
        <w:t xml:space="preserve"> (AEIA)</w:t>
      </w:r>
      <w:bookmarkEnd w:id="92"/>
      <w:bookmarkEnd w:id="93"/>
      <w:bookmarkEnd w:id="94"/>
    </w:p>
    <w:p w14:paraId="0F4EB805" w14:textId="77777777" w:rsidR="005F62D6" w:rsidRPr="00FC5B6A" w:rsidRDefault="005F62D6" w:rsidP="0088511D">
      <w:pPr>
        <w:spacing w:after="0" w:line="276" w:lineRule="auto"/>
        <w:jc w:val="both"/>
        <w:rPr>
          <w:rFonts w:eastAsiaTheme="majorEastAsia" w:cstheme="minorHAnsi"/>
          <w:noProof/>
          <w:color w:val="000000" w:themeColor="text1"/>
        </w:rPr>
      </w:pPr>
    </w:p>
    <w:p w14:paraId="4D1B2B6B" w14:textId="5D04A37B" w:rsidR="0088511D" w:rsidRPr="00FC5B6A" w:rsidRDefault="0088511D" w:rsidP="005A4F56">
      <w:pPr>
        <w:spacing w:after="0" w:line="240" w:lineRule="auto"/>
        <w:jc w:val="both"/>
        <w:rPr>
          <w:rFonts w:eastAsiaTheme="majorEastAsia" w:cstheme="minorHAnsi"/>
          <w:noProof/>
          <w:color w:val="000000" w:themeColor="text1"/>
        </w:rPr>
      </w:pPr>
      <w:r w:rsidRPr="00FC5B6A">
        <w:rPr>
          <w:rFonts w:eastAsiaTheme="majorEastAsia" w:cstheme="minorHAnsi"/>
          <w:noProof/>
          <w:color w:val="000000" w:themeColor="text1"/>
        </w:rPr>
        <w:t xml:space="preserve">En la cuarta etapa de la metodología de zonficiación ambiental, se identificaron las AEIA por parte del Ministerio de Ambiente y Desarrollo Sostenible, las cuales se refieren al conjunto de espacios geográficos dedicados, o con usos afines, a la conservación de la biodiversidad y los servicios ecosistémicos, tales como, Parques Nacionales Naturales - PNN; </w:t>
      </w:r>
      <w:r w:rsidR="00B11091" w:rsidRPr="00FC5B6A">
        <w:rPr>
          <w:rFonts w:eastAsiaTheme="majorEastAsia" w:cstheme="minorHAnsi"/>
          <w:noProof/>
          <w:color w:val="000000" w:themeColor="text1"/>
        </w:rPr>
        <w:t>Áreas</w:t>
      </w:r>
      <w:r w:rsidRPr="00FC5B6A">
        <w:rPr>
          <w:rFonts w:eastAsiaTheme="majorEastAsia" w:cstheme="minorHAnsi"/>
          <w:noProof/>
          <w:color w:val="000000" w:themeColor="text1"/>
        </w:rPr>
        <w:t xml:space="preserve"> de Reserva Forestal establecidas mediante la Ley 2da de 1959; Parques Naturales Regionales - PNR; Reservas Naturales de la Sociedad Civil - RNSC; Distritos de Manejo Integrado; sitios RAMSAR; Áreas Importantes para la Conservación de las Aves (AICAS); Complejo de Páramos, entre otros. </w:t>
      </w:r>
    </w:p>
    <w:p w14:paraId="265D8DA0" w14:textId="77777777" w:rsidR="0088511D" w:rsidRPr="00FC5B6A" w:rsidRDefault="0088511D" w:rsidP="005A4F56">
      <w:pPr>
        <w:spacing w:after="0" w:line="240" w:lineRule="auto"/>
        <w:jc w:val="both"/>
        <w:rPr>
          <w:rFonts w:eastAsiaTheme="majorEastAsia" w:cstheme="minorHAnsi"/>
          <w:noProof/>
          <w:color w:val="000000" w:themeColor="text1"/>
        </w:rPr>
      </w:pPr>
    </w:p>
    <w:p w14:paraId="6E0F0039" w14:textId="77777777" w:rsidR="0088511D" w:rsidRPr="00FC5B6A" w:rsidRDefault="0088511D" w:rsidP="005A4F56">
      <w:pPr>
        <w:spacing w:after="0" w:line="240" w:lineRule="auto"/>
        <w:jc w:val="both"/>
        <w:rPr>
          <w:rFonts w:eastAsiaTheme="majorEastAsia" w:cstheme="minorHAnsi"/>
          <w:noProof/>
          <w:color w:val="000000" w:themeColor="text1"/>
        </w:rPr>
      </w:pPr>
      <w:r w:rsidRPr="00FC5B6A">
        <w:rPr>
          <w:rFonts w:eastAsiaTheme="majorEastAsia" w:cstheme="minorHAnsi"/>
          <w:noProof/>
          <w:color w:val="000000" w:themeColor="text1"/>
        </w:rPr>
        <w:t>En algunos casos, estas áreas han sido declaradas mediante acto administrativo público, lo que les confiere seguridad respeto a sus límites y su plan de manejo; en otros casos, son áreas declaradas o identificadas bajo alguna categoría especial de manejo.</w:t>
      </w:r>
    </w:p>
    <w:p w14:paraId="50888763" w14:textId="77777777" w:rsidR="0088511D" w:rsidRPr="00FC5B6A" w:rsidRDefault="0088511D" w:rsidP="005A4F56">
      <w:pPr>
        <w:spacing w:after="0" w:line="240" w:lineRule="auto"/>
        <w:jc w:val="both"/>
        <w:rPr>
          <w:rFonts w:eastAsiaTheme="majorEastAsia" w:cstheme="minorHAnsi"/>
          <w:noProof/>
          <w:color w:val="000000" w:themeColor="text1"/>
        </w:rPr>
      </w:pPr>
    </w:p>
    <w:p w14:paraId="20BEC466" w14:textId="3C8961ED" w:rsidR="0088511D" w:rsidRPr="00FC5B6A" w:rsidRDefault="0088511D" w:rsidP="005A4F56">
      <w:pPr>
        <w:spacing w:after="0" w:line="240" w:lineRule="auto"/>
        <w:jc w:val="both"/>
        <w:rPr>
          <w:rFonts w:eastAsiaTheme="majorEastAsia"/>
          <w:noProof/>
          <w:color w:val="000000" w:themeColor="text1"/>
        </w:rPr>
      </w:pPr>
      <w:r w:rsidRPr="00FC5B6A">
        <w:rPr>
          <w:rFonts w:eastAsiaTheme="majorEastAsia"/>
          <w:noProof/>
          <w:color w:val="000000" w:themeColor="text1"/>
        </w:rPr>
        <w:t xml:space="preserve">Para </w:t>
      </w:r>
      <w:r w:rsidR="00925CA3" w:rsidRPr="00FC5B6A">
        <w:rPr>
          <w:rFonts w:eastAsiaTheme="majorEastAsia"/>
          <w:noProof/>
          <w:color w:val="000000" w:themeColor="text1"/>
        </w:rPr>
        <w:t xml:space="preserve">la zonificación ambiental de las 19 </w:t>
      </w:r>
      <w:r w:rsidR="001B4BB6" w:rsidRPr="00FC5B6A">
        <w:rPr>
          <w:rFonts w:eastAsiaTheme="majorEastAsia"/>
          <w:noProof/>
          <w:color w:val="000000" w:themeColor="text1"/>
        </w:rPr>
        <w:t>subregiones supramunicipales</w:t>
      </w:r>
      <w:r w:rsidRPr="00FC5B6A">
        <w:rPr>
          <w:rFonts w:eastAsiaTheme="majorEastAsia"/>
          <w:noProof/>
          <w:color w:val="000000" w:themeColor="text1"/>
        </w:rPr>
        <w:t>, se lograron recopilar un total de 2</w:t>
      </w:r>
      <w:r w:rsidR="00F35552" w:rsidRPr="00FC5B6A">
        <w:rPr>
          <w:rFonts w:eastAsiaTheme="majorEastAsia"/>
          <w:noProof/>
          <w:color w:val="000000" w:themeColor="text1"/>
        </w:rPr>
        <w:t>7</w:t>
      </w:r>
      <w:r w:rsidRPr="00FC5B6A">
        <w:rPr>
          <w:rFonts w:eastAsiaTheme="majorEastAsia"/>
          <w:noProof/>
          <w:color w:val="000000" w:themeColor="text1"/>
        </w:rPr>
        <w:t xml:space="preserve"> tipos de AEIA asignandoles con sus categoría de manejo establecidas en la normatividad ambiental</w:t>
      </w:r>
      <w:r w:rsidR="00752D77" w:rsidRPr="00FC5B6A">
        <w:rPr>
          <w:rFonts w:eastAsiaTheme="majorEastAsia"/>
          <w:noProof/>
          <w:color w:val="000000" w:themeColor="text1"/>
        </w:rPr>
        <w:t xml:space="preserve"> </w:t>
      </w:r>
      <w:r w:rsidRPr="00FC5B6A">
        <w:rPr>
          <w:rFonts w:eastAsiaTheme="majorEastAsia"/>
          <w:noProof/>
          <w:color w:val="000000" w:themeColor="text1"/>
        </w:rPr>
        <w:t>(</w:t>
      </w:r>
      <w:r w:rsidR="00B820C8" w:rsidRPr="00FC5B6A">
        <w:rPr>
          <w:rFonts w:eastAsiaTheme="majorEastAsia"/>
          <w:noProof/>
          <w:color w:val="000000" w:themeColor="text1"/>
        </w:rPr>
        <w:fldChar w:fldCharType="begin"/>
      </w:r>
      <w:r w:rsidR="00B820C8" w:rsidRPr="00FC5B6A">
        <w:rPr>
          <w:rFonts w:eastAsiaTheme="majorEastAsia"/>
          <w:noProof/>
          <w:color w:val="000000" w:themeColor="text1"/>
        </w:rPr>
        <w:instrText xml:space="preserve"> REF _Ref167533104 \h  \* MERGEFORMAT </w:instrText>
      </w:r>
      <w:r w:rsidR="00B820C8" w:rsidRPr="00FC5B6A">
        <w:rPr>
          <w:rFonts w:eastAsiaTheme="majorEastAsia"/>
          <w:noProof/>
          <w:color w:val="000000" w:themeColor="text1"/>
        </w:rPr>
      </w:r>
      <w:r w:rsidR="00B820C8" w:rsidRPr="00FC5B6A">
        <w:rPr>
          <w:rFonts w:eastAsiaTheme="majorEastAsia"/>
          <w:noProof/>
          <w:color w:val="000000" w:themeColor="text1"/>
        </w:rPr>
        <w:fldChar w:fldCharType="separate"/>
      </w:r>
      <w:r w:rsidR="00E74A31" w:rsidRPr="00FC5B6A">
        <w:rPr>
          <w:rFonts w:eastAsiaTheme="majorEastAsia"/>
          <w:noProof/>
          <w:color w:val="000000" w:themeColor="text1"/>
        </w:rPr>
        <w:t xml:space="preserve">Tabla </w:t>
      </w:r>
      <w:r w:rsidR="000C325D">
        <w:rPr>
          <w:rFonts w:eastAsiaTheme="majorEastAsia"/>
          <w:noProof/>
          <w:color w:val="000000" w:themeColor="text1"/>
        </w:rPr>
        <w:t>10</w:t>
      </w:r>
      <w:r w:rsidR="00B820C8" w:rsidRPr="00FC5B6A">
        <w:rPr>
          <w:rFonts w:eastAsiaTheme="majorEastAsia"/>
          <w:noProof/>
          <w:color w:val="000000" w:themeColor="text1"/>
        </w:rPr>
        <w:fldChar w:fldCharType="end"/>
      </w:r>
      <w:r w:rsidRPr="00FC5B6A">
        <w:rPr>
          <w:rFonts w:eastAsiaTheme="majorEastAsia"/>
          <w:noProof/>
          <w:color w:val="000000" w:themeColor="text1"/>
        </w:rPr>
        <w:t>).</w:t>
      </w:r>
    </w:p>
    <w:p w14:paraId="518131F4" w14:textId="77777777" w:rsidR="0088511D" w:rsidRPr="00FC5B6A" w:rsidRDefault="0088511D" w:rsidP="0088511D">
      <w:pPr>
        <w:spacing w:after="0" w:line="276" w:lineRule="auto"/>
        <w:jc w:val="both"/>
        <w:rPr>
          <w:rFonts w:eastAsiaTheme="majorEastAsia" w:cstheme="minorHAnsi"/>
          <w:noProof/>
          <w:color w:val="000000" w:themeColor="text1"/>
        </w:rPr>
      </w:pPr>
    </w:p>
    <w:p w14:paraId="6466409E" w14:textId="04BC0727" w:rsidR="0088511D" w:rsidRPr="00FC5B6A" w:rsidRDefault="00B820C8" w:rsidP="00752D77">
      <w:pPr>
        <w:keepNext/>
        <w:spacing w:after="0" w:line="276" w:lineRule="auto"/>
        <w:ind w:left="360"/>
        <w:jc w:val="center"/>
        <w:rPr>
          <w:rFonts w:cstheme="minorHAnsi"/>
          <w:bCs/>
          <w:sz w:val="20"/>
          <w:szCs w:val="16"/>
        </w:rPr>
      </w:pPr>
      <w:bookmarkStart w:id="95" w:name="_Ref167533104"/>
      <w:bookmarkStart w:id="96" w:name="_Toc478482912"/>
      <w:bookmarkStart w:id="97" w:name="_Toc170124922"/>
      <w:r w:rsidRPr="00FC5B6A">
        <w:rPr>
          <w:rFonts w:cstheme="minorHAnsi"/>
          <w:bCs/>
          <w:sz w:val="20"/>
          <w:szCs w:val="16"/>
        </w:rPr>
        <w:t xml:space="preserve">Tabla </w:t>
      </w:r>
      <w:r w:rsidRPr="00FC5B6A">
        <w:rPr>
          <w:rFonts w:cstheme="minorHAnsi"/>
          <w:bCs/>
          <w:sz w:val="20"/>
          <w:szCs w:val="16"/>
        </w:rPr>
        <w:fldChar w:fldCharType="begin"/>
      </w:r>
      <w:r w:rsidRPr="00FC5B6A">
        <w:rPr>
          <w:rFonts w:cstheme="minorHAnsi"/>
          <w:bCs/>
          <w:sz w:val="20"/>
          <w:szCs w:val="16"/>
        </w:rPr>
        <w:instrText xml:space="preserve"> SEQ Tabla \* ARABIC </w:instrText>
      </w:r>
      <w:r w:rsidRPr="00FC5B6A">
        <w:rPr>
          <w:rFonts w:cstheme="minorHAnsi"/>
          <w:bCs/>
          <w:sz w:val="20"/>
          <w:szCs w:val="16"/>
        </w:rPr>
        <w:fldChar w:fldCharType="separate"/>
      </w:r>
      <w:r w:rsidR="000C325D">
        <w:rPr>
          <w:rFonts w:cstheme="minorHAnsi"/>
          <w:bCs/>
          <w:noProof/>
          <w:sz w:val="20"/>
          <w:szCs w:val="16"/>
        </w:rPr>
        <w:t>10</w:t>
      </w:r>
      <w:r w:rsidRPr="00FC5B6A">
        <w:rPr>
          <w:rFonts w:cstheme="minorHAnsi"/>
          <w:bCs/>
          <w:sz w:val="20"/>
          <w:szCs w:val="16"/>
        </w:rPr>
        <w:fldChar w:fldCharType="end"/>
      </w:r>
      <w:bookmarkEnd w:id="95"/>
      <w:r w:rsidR="0088511D" w:rsidRPr="00FC5B6A">
        <w:rPr>
          <w:rFonts w:cstheme="minorHAnsi"/>
          <w:bCs/>
          <w:sz w:val="20"/>
          <w:szCs w:val="16"/>
        </w:rPr>
        <w:t>. Áreas de Especial Interés Ambiental (AEIA) con asignación de Categorías de Manejo</w:t>
      </w:r>
      <w:bookmarkEnd w:id="96"/>
      <w:r w:rsidR="0088511D" w:rsidRPr="00FC5B6A">
        <w:rPr>
          <w:rFonts w:cstheme="minorHAnsi"/>
          <w:bCs/>
          <w:sz w:val="20"/>
          <w:szCs w:val="16"/>
        </w:rPr>
        <w:t xml:space="preserve"> Ambiental</w:t>
      </w:r>
      <w:bookmarkEnd w:id="97"/>
    </w:p>
    <w:tbl>
      <w:tblPr>
        <w:tblStyle w:val="Tablaconcuadrcula6concolores-nfasis1"/>
        <w:tblW w:w="9209" w:type="dxa"/>
        <w:jc w:val="center"/>
        <w:tblLayout w:type="fixed"/>
        <w:tblLook w:val="04A0" w:firstRow="1" w:lastRow="0" w:firstColumn="1" w:lastColumn="0" w:noHBand="0" w:noVBand="1"/>
      </w:tblPr>
      <w:tblGrid>
        <w:gridCol w:w="1696"/>
        <w:gridCol w:w="3544"/>
        <w:gridCol w:w="2835"/>
        <w:gridCol w:w="1134"/>
      </w:tblGrid>
      <w:tr w:rsidR="0088511D" w:rsidRPr="00FC5B6A" w14:paraId="7A5F621B" w14:textId="77777777" w:rsidTr="00D56EE9">
        <w:trPr>
          <w:cnfStyle w:val="100000000000" w:firstRow="1" w:lastRow="0" w:firstColumn="0" w:lastColumn="0" w:oddVBand="0" w:evenVBand="0" w:oddHBand="0" w:evenHBand="0" w:firstRowFirstColumn="0" w:firstRowLastColumn="0" w:lastRowFirstColumn="0" w:lastRowLastColumn="0"/>
          <w:trHeight w:val="365"/>
          <w:tblHeader/>
          <w:jc w:val="center"/>
        </w:trPr>
        <w:tc>
          <w:tcPr>
            <w:cnfStyle w:val="001000000000" w:firstRow="0" w:lastRow="0" w:firstColumn="1" w:lastColumn="0" w:oddVBand="0" w:evenVBand="0" w:oddHBand="0" w:evenHBand="0" w:firstRowFirstColumn="0" w:firstRowLastColumn="0" w:lastRowFirstColumn="0" w:lastRowLastColumn="0"/>
            <w:tcW w:w="9209" w:type="dxa"/>
            <w:gridSpan w:val="4"/>
            <w:vAlign w:val="center"/>
            <w:hideMark/>
          </w:tcPr>
          <w:p w14:paraId="41C9EB94" w14:textId="77777777" w:rsidR="0088511D" w:rsidRPr="00FC5B6A" w:rsidRDefault="0088511D" w:rsidP="00D56EE9">
            <w:pPr>
              <w:jc w:val="center"/>
              <w:rPr>
                <w:rFonts w:eastAsia="Times New Roman" w:cstheme="minorHAnsi"/>
                <w:color w:val="000000" w:themeColor="text1"/>
                <w:lang w:val="es-CO"/>
              </w:rPr>
            </w:pPr>
            <w:bookmarkStart w:id="98" w:name="_Hlk40264979"/>
            <w:r w:rsidRPr="00FC5B6A">
              <w:rPr>
                <w:rFonts w:eastAsia="Times New Roman" w:cstheme="minorHAnsi"/>
                <w:color w:val="000000" w:themeColor="text1"/>
                <w:lang w:val="es-CO"/>
              </w:rPr>
              <w:t>ÁREAS DE ESPECIAL INTERÉS AMBIENTAL (AEIA)</w:t>
            </w:r>
          </w:p>
        </w:tc>
      </w:tr>
      <w:tr w:rsidR="0088511D" w:rsidRPr="00FC5B6A" w14:paraId="5E02B885" w14:textId="77777777" w:rsidTr="00D56EE9">
        <w:trPr>
          <w:cnfStyle w:val="100000000000" w:firstRow="1" w:lastRow="0" w:firstColumn="0" w:lastColumn="0" w:oddVBand="0" w:evenVBand="0" w:oddHBand="0" w:evenHBand="0" w:firstRowFirstColumn="0" w:firstRowLastColumn="0" w:lastRowFirstColumn="0" w:lastRowLastColumn="0"/>
          <w:trHeight w:val="312"/>
          <w:tblHeader/>
          <w:jc w:val="center"/>
        </w:trPr>
        <w:tc>
          <w:tcPr>
            <w:cnfStyle w:val="001000000000" w:firstRow="0" w:lastRow="0" w:firstColumn="1" w:lastColumn="0" w:oddVBand="0" w:evenVBand="0" w:oddHBand="0" w:evenHBand="0" w:firstRowFirstColumn="0" w:firstRowLastColumn="0" w:lastRowFirstColumn="0" w:lastRowLastColumn="0"/>
            <w:tcW w:w="1696" w:type="dxa"/>
            <w:vAlign w:val="center"/>
            <w:hideMark/>
          </w:tcPr>
          <w:p w14:paraId="3843A1BE" w14:textId="77777777" w:rsidR="0088511D" w:rsidRPr="00FC5B6A" w:rsidRDefault="0088511D" w:rsidP="00D56EE9">
            <w:pPr>
              <w:jc w:val="center"/>
              <w:rPr>
                <w:rFonts w:eastAsia="Times New Roman" w:cstheme="minorHAnsi"/>
                <w:color w:val="000000" w:themeColor="text1"/>
              </w:rPr>
            </w:pPr>
            <w:proofErr w:type="spellStart"/>
            <w:r w:rsidRPr="00FC5B6A">
              <w:rPr>
                <w:rFonts w:eastAsia="Times New Roman" w:cstheme="minorHAnsi"/>
                <w:color w:val="000000" w:themeColor="text1"/>
              </w:rPr>
              <w:t>Categoría</w:t>
            </w:r>
            <w:proofErr w:type="spellEnd"/>
            <w:r w:rsidRPr="00FC5B6A">
              <w:rPr>
                <w:rFonts w:eastAsia="Times New Roman" w:cstheme="minorHAnsi"/>
                <w:color w:val="000000" w:themeColor="text1"/>
              </w:rPr>
              <w:t xml:space="preserve"> de </w:t>
            </w:r>
            <w:proofErr w:type="spellStart"/>
            <w:r w:rsidRPr="00FC5B6A">
              <w:rPr>
                <w:rFonts w:eastAsia="Times New Roman" w:cstheme="minorHAnsi"/>
                <w:color w:val="000000" w:themeColor="text1"/>
              </w:rPr>
              <w:t>Ordenamiento</w:t>
            </w:r>
            <w:proofErr w:type="spellEnd"/>
            <w:r w:rsidRPr="00FC5B6A">
              <w:rPr>
                <w:rFonts w:eastAsia="Times New Roman" w:cstheme="minorHAnsi"/>
                <w:color w:val="000000" w:themeColor="text1"/>
              </w:rPr>
              <w:t xml:space="preserve"> Ambiental</w:t>
            </w:r>
          </w:p>
        </w:tc>
        <w:tc>
          <w:tcPr>
            <w:tcW w:w="3544" w:type="dxa"/>
            <w:vAlign w:val="center"/>
            <w:hideMark/>
          </w:tcPr>
          <w:p w14:paraId="15A0BA49" w14:textId="77777777" w:rsidR="0088511D" w:rsidRPr="00FC5B6A" w:rsidRDefault="0088511D" w:rsidP="00D56EE9">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Área de Especial Interés Ambiental</w:t>
            </w:r>
          </w:p>
        </w:tc>
        <w:tc>
          <w:tcPr>
            <w:tcW w:w="2835" w:type="dxa"/>
            <w:noWrap/>
            <w:vAlign w:val="center"/>
            <w:hideMark/>
          </w:tcPr>
          <w:p w14:paraId="52174834" w14:textId="77777777" w:rsidR="0088511D" w:rsidRPr="00FC5B6A" w:rsidRDefault="0088511D" w:rsidP="00D56EE9">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Categoría</w:t>
            </w:r>
            <w:proofErr w:type="spellEnd"/>
            <w:r w:rsidRPr="00FC5B6A">
              <w:rPr>
                <w:rFonts w:eastAsia="Times New Roman" w:cstheme="minorHAnsi"/>
                <w:color w:val="000000" w:themeColor="text1"/>
              </w:rPr>
              <w:t xml:space="preserve"> de </w:t>
            </w:r>
            <w:proofErr w:type="spellStart"/>
            <w:r w:rsidRPr="00FC5B6A">
              <w:rPr>
                <w:rFonts w:eastAsia="Times New Roman" w:cstheme="minorHAnsi"/>
                <w:color w:val="000000" w:themeColor="text1"/>
              </w:rPr>
              <w:t>Manejo</w:t>
            </w:r>
            <w:proofErr w:type="spellEnd"/>
            <w:r w:rsidRPr="00FC5B6A">
              <w:rPr>
                <w:rFonts w:eastAsia="Times New Roman" w:cstheme="minorHAnsi"/>
                <w:color w:val="000000" w:themeColor="text1"/>
              </w:rPr>
              <w:t xml:space="preserve"> Ambiental</w:t>
            </w:r>
          </w:p>
        </w:tc>
        <w:tc>
          <w:tcPr>
            <w:tcW w:w="1134" w:type="dxa"/>
            <w:noWrap/>
            <w:vAlign w:val="center"/>
            <w:hideMark/>
          </w:tcPr>
          <w:p w14:paraId="6239C9E1" w14:textId="77777777" w:rsidR="0088511D" w:rsidRPr="00FC5B6A" w:rsidRDefault="0088511D" w:rsidP="00D56EE9">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 xml:space="preserve">Tipo de </w:t>
            </w:r>
            <w:proofErr w:type="spellStart"/>
            <w:r w:rsidRPr="00FC5B6A">
              <w:rPr>
                <w:rFonts w:eastAsia="Times New Roman" w:cstheme="minorHAnsi"/>
                <w:color w:val="000000" w:themeColor="text1"/>
              </w:rPr>
              <w:t>registro</w:t>
            </w:r>
            <w:proofErr w:type="spellEnd"/>
          </w:p>
        </w:tc>
      </w:tr>
      <w:tr w:rsidR="0088511D" w:rsidRPr="00FC5B6A" w14:paraId="55E55082"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restart"/>
            <w:vAlign w:val="center"/>
            <w:hideMark/>
          </w:tcPr>
          <w:p w14:paraId="296DA2DB" w14:textId="77777777" w:rsidR="0088511D" w:rsidRPr="00FC5B6A" w:rsidRDefault="0088511D" w:rsidP="00D56EE9">
            <w:pPr>
              <w:jc w:val="center"/>
              <w:rPr>
                <w:rFonts w:eastAsia="Times New Roman" w:cstheme="minorHAnsi"/>
                <w:b w:val="0"/>
                <w:bCs w:val="0"/>
                <w:color w:val="000000" w:themeColor="text1"/>
                <w:lang w:val="es-CO"/>
              </w:rPr>
            </w:pPr>
            <w:bookmarkStart w:id="99" w:name="_Hlk2672967"/>
            <w:r w:rsidRPr="00FC5B6A">
              <w:rPr>
                <w:rFonts w:eastAsia="Times New Roman" w:cstheme="minorHAnsi"/>
                <w:color w:val="000000" w:themeColor="text1"/>
                <w:lang w:val="es-CO"/>
              </w:rPr>
              <w:t>SINAP - Áreas del Sistema de Parques Nacionales Naturales de Colombia - SPNN</w:t>
            </w:r>
          </w:p>
        </w:tc>
        <w:tc>
          <w:tcPr>
            <w:tcW w:w="3544" w:type="dxa"/>
            <w:vAlign w:val="center"/>
            <w:hideMark/>
          </w:tcPr>
          <w:p w14:paraId="6E0D6B8B"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Parques</w:t>
            </w:r>
            <w:proofErr w:type="spellEnd"/>
            <w:r w:rsidRPr="00FC5B6A">
              <w:rPr>
                <w:rFonts w:eastAsia="Times New Roman" w:cstheme="minorHAnsi"/>
                <w:color w:val="000000" w:themeColor="text1"/>
              </w:rPr>
              <w:t xml:space="preserve"> Nacionales Naturales </w:t>
            </w:r>
          </w:p>
        </w:tc>
        <w:tc>
          <w:tcPr>
            <w:tcW w:w="2835" w:type="dxa"/>
            <w:noWrap/>
            <w:vAlign w:val="center"/>
            <w:hideMark/>
          </w:tcPr>
          <w:p w14:paraId="13E3B859"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Preservación</w:t>
            </w:r>
            <w:proofErr w:type="spellEnd"/>
            <w:r w:rsidRPr="00FC5B6A">
              <w:rPr>
                <w:rFonts w:eastAsia="Times New Roman" w:cstheme="minorHAnsi"/>
                <w:color w:val="000000" w:themeColor="text1"/>
              </w:rPr>
              <w:t xml:space="preserve"> </w:t>
            </w:r>
          </w:p>
        </w:tc>
        <w:tc>
          <w:tcPr>
            <w:tcW w:w="1134" w:type="dxa"/>
            <w:noWrap/>
            <w:vAlign w:val="center"/>
            <w:hideMark/>
          </w:tcPr>
          <w:p w14:paraId="2223E3C2"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6D72C979" w14:textId="77777777" w:rsidTr="00D56EE9">
        <w:trPr>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594E6C8F"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30A781EB"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Reservas</w:t>
            </w:r>
            <w:proofErr w:type="spellEnd"/>
            <w:r w:rsidRPr="00FC5B6A">
              <w:rPr>
                <w:rFonts w:eastAsia="Times New Roman" w:cstheme="minorHAnsi"/>
                <w:color w:val="000000" w:themeColor="text1"/>
              </w:rPr>
              <w:t xml:space="preserve"> Naturales </w:t>
            </w:r>
          </w:p>
        </w:tc>
        <w:tc>
          <w:tcPr>
            <w:tcW w:w="2835" w:type="dxa"/>
            <w:noWrap/>
            <w:vAlign w:val="center"/>
            <w:hideMark/>
          </w:tcPr>
          <w:p w14:paraId="252FD14A"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Preservación</w:t>
            </w:r>
            <w:proofErr w:type="spellEnd"/>
            <w:r w:rsidRPr="00FC5B6A">
              <w:rPr>
                <w:rFonts w:eastAsia="Times New Roman" w:cstheme="minorHAnsi"/>
                <w:color w:val="000000" w:themeColor="text1"/>
              </w:rPr>
              <w:t xml:space="preserve"> </w:t>
            </w:r>
          </w:p>
        </w:tc>
        <w:tc>
          <w:tcPr>
            <w:tcW w:w="1134" w:type="dxa"/>
            <w:noWrap/>
            <w:vAlign w:val="center"/>
            <w:hideMark/>
          </w:tcPr>
          <w:p w14:paraId="367CD136"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4B5745FF"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tcPr>
          <w:p w14:paraId="67A82463" w14:textId="77777777" w:rsidR="0088511D" w:rsidRPr="00FC5B6A" w:rsidRDefault="0088511D" w:rsidP="00D56EE9">
            <w:pPr>
              <w:rPr>
                <w:rFonts w:eastAsia="Times New Roman" w:cstheme="minorHAnsi"/>
                <w:b w:val="0"/>
                <w:bCs w:val="0"/>
                <w:color w:val="000000" w:themeColor="text1"/>
              </w:rPr>
            </w:pPr>
          </w:p>
        </w:tc>
        <w:tc>
          <w:tcPr>
            <w:tcW w:w="3544" w:type="dxa"/>
            <w:vAlign w:val="center"/>
          </w:tcPr>
          <w:p w14:paraId="3888C681"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Área</w:t>
            </w:r>
            <w:proofErr w:type="spellEnd"/>
            <w:r w:rsidRPr="00FC5B6A">
              <w:rPr>
                <w:rFonts w:eastAsia="Times New Roman" w:cstheme="minorHAnsi"/>
                <w:color w:val="000000" w:themeColor="text1"/>
              </w:rPr>
              <w:t xml:space="preserve"> Natural </w:t>
            </w:r>
            <w:proofErr w:type="spellStart"/>
            <w:r w:rsidRPr="00FC5B6A">
              <w:rPr>
                <w:rFonts w:eastAsia="Times New Roman" w:cstheme="minorHAnsi"/>
                <w:color w:val="000000" w:themeColor="text1"/>
              </w:rPr>
              <w:t>Única</w:t>
            </w:r>
            <w:proofErr w:type="spellEnd"/>
          </w:p>
        </w:tc>
        <w:tc>
          <w:tcPr>
            <w:tcW w:w="2835" w:type="dxa"/>
            <w:noWrap/>
            <w:vAlign w:val="center"/>
          </w:tcPr>
          <w:p w14:paraId="723402D9"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Preservación</w:t>
            </w:r>
            <w:proofErr w:type="spellEnd"/>
            <w:r w:rsidRPr="00FC5B6A">
              <w:rPr>
                <w:rFonts w:eastAsia="Times New Roman" w:cstheme="minorHAnsi"/>
                <w:color w:val="000000" w:themeColor="text1"/>
              </w:rPr>
              <w:t xml:space="preserve"> </w:t>
            </w:r>
          </w:p>
        </w:tc>
        <w:tc>
          <w:tcPr>
            <w:tcW w:w="1134" w:type="dxa"/>
            <w:noWrap/>
            <w:vAlign w:val="center"/>
          </w:tcPr>
          <w:p w14:paraId="505E43AE"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099EB680" w14:textId="77777777" w:rsidTr="00D56EE9">
        <w:trPr>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tcPr>
          <w:p w14:paraId="6E253508" w14:textId="77777777" w:rsidR="0088511D" w:rsidRPr="00FC5B6A" w:rsidRDefault="0088511D" w:rsidP="00D56EE9">
            <w:pPr>
              <w:rPr>
                <w:rFonts w:eastAsia="Times New Roman" w:cstheme="minorHAnsi"/>
                <w:b w:val="0"/>
                <w:bCs w:val="0"/>
                <w:color w:val="000000" w:themeColor="text1"/>
              </w:rPr>
            </w:pPr>
          </w:p>
        </w:tc>
        <w:tc>
          <w:tcPr>
            <w:tcW w:w="3544" w:type="dxa"/>
            <w:vAlign w:val="center"/>
          </w:tcPr>
          <w:p w14:paraId="2470553D"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Santuarios</w:t>
            </w:r>
            <w:proofErr w:type="spellEnd"/>
            <w:r w:rsidRPr="00FC5B6A">
              <w:rPr>
                <w:rFonts w:eastAsia="Times New Roman" w:cstheme="minorHAnsi"/>
                <w:color w:val="000000" w:themeColor="text1"/>
              </w:rPr>
              <w:t xml:space="preserve"> de Flora</w:t>
            </w:r>
          </w:p>
        </w:tc>
        <w:tc>
          <w:tcPr>
            <w:tcW w:w="2835" w:type="dxa"/>
            <w:noWrap/>
            <w:vAlign w:val="center"/>
          </w:tcPr>
          <w:p w14:paraId="0482DD34"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Preservación</w:t>
            </w:r>
            <w:proofErr w:type="spellEnd"/>
            <w:r w:rsidRPr="00FC5B6A">
              <w:rPr>
                <w:rFonts w:eastAsia="Times New Roman" w:cstheme="minorHAnsi"/>
                <w:color w:val="000000" w:themeColor="text1"/>
              </w:rPr>
              <w:t xml:space="preserve"> </w:t>
            </w:r>
          </w:p>
        </w:tc>
        <w:tc>
          <w:tcPr>
            <w:tcW w:w="1134" w:type="dxa"/>
            <w:noWrap/>
            <w:vAlign w:val="center"/>
          </w:tcPr>
          <w:p w14:paraId="2B6CD7C7"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12054254"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28CC11BC"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37D12CD8"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Santuarios</w:t>
            </w:r>
            <w:proofErr w:type="spellEnd"/>
            <w:r w:rsidRPr="00FC5B6A">
              <w:rPr>
                <w:rFonts w:eastAsia="Times New Roman" w:cstheme="minorHAnsi"/>
                <w:color w:val="000000" w:themeColor="text1"/>
              </w:rPr>
              <w:t xml:space="preserve"> de Fauna </w:t>
            </w:r>
          </w:p>
        </w:tc>
        <w:tc>
          <w:tcPr>
            <w:tcW w:w="2835" w:type="dxa"/>
            <w:noWrap/>
            <w:vAlign w:val="center"/>
            <w:hideMark/>
          </w:tcPr>
          <w:p w14:paraId="6EB2223F"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Preservación</w:t>
            </w:r>
            <w:proofErr w:type="spellEnd"/>
            <w:r w:rsidRPr="00FC5B6A">
              <w:rPr>
                <w:rFonts w:eastAsia="Times New Roman" w:cstheme="minorHAnsi"/>
                <w:color w:val="000000" w:themeColor="text1"/>
              </w:rPr>
              <w:t xml:space="preserve"> </w:t>
            </w:r>
          </w:p>
        </w:tc>
        <w:tc>
          <w:tcPr>
            <w:tcW w:w="1134" w:type="dxa"/>
            <w:noWrap/>
            <w:vAlign w:val="center"/>
            <w:hideMark/>
          </w:tcPr>
          <w:p w14:paraId="42D8CB8A"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bookmarkEnd w:id="99"/>
      <w:tr w:rsidR="0088511D" w:rsidRPr="00FC5B6A" w14:paraId="48209B16" w14:textId="77777777" w:rsidTr="00D56EE9">
        <w:trPr>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tcPr>
          <w:p w14:paraId="6ECE5825" w14:textId="77777777" w:rsidR="0088511D" w:rsidRPr="00FC5B6A" w:rsidRDefault="0088511D" w:rsidP="00D56EE9">
            <w:pPr>
              <w:rPr>
                <w:rFonts w:eastAsia="Times New Roman" w:cstheme="minorHAnsi"/>
                <w:b w:val="0"/>
                <w:bCs w:val="0"/>
                <w:color w:val="000000" w:themeColor="text1"/>
              </w:rPr>
            </w:pPr>
          </w:p>
        </w:tc>
        <w:tc>
          <w:tcPr>
            <w:tcW w:w="3544" w:type="dxa"/>
            <w:vAlign w:val="center"/>
          </w:tcPr>
          <w:p w14:paraId="7D187627"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Santuarios de Fauna y Flora</w:t>
            </w:r>
          </w:p>
        </w:tc>
        <w:tc>
          <w:tcPr>
            <w:tcW w:w="2835" w:type="dxa"/>
            <w:noWrap/>
            <w:vAlign w:val="center"/>
          </w:tcPr>
          <w:p w14:paraId="2E79B9F8"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Preservación</w:t>
            </w:r>
            <w:proofErr w:type="spellEnd"/>
          </w:p>
        </w:tc>
        <w:tc>
          <w:tcPr>
            <w:tcW w:w="1134" w:type="dxa"/>
            <w:noWrap/>
            <w:vAlign w:val="center"/>
          </w:tcPr>
          <w:p w14:paraId="0EE0260E"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2DB8A0D0"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25EA7715"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2EE71D2C"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 xml:space="preserve">Vía Parque </w:t>
            </w:r>
          </w:p>
        </w:tc>
        <w:tc>
          <w:tcPr>
            <w:tcW w:w="2835" w:type="dxa"/>
            <w:noWrap/>
            <w:vAlign w:val="center"/>
            <w:hideMark/>
          </w:tcPr>
          <w:p w14:paraId="7356F1D4"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Preservación</w:t>
            </w:r>
            <w:proofErr w:type="spellEnd"/>
            <w:r w:rsidRPr="00FC5B6A">
              <w:rPr>
                <w:rFonts w:eastAsia="Times New Roman" w:cstheme="minorHAnsi"/>
                <w:color w:val="000000" w:themeColor="text1"/>
              </w:rPr>
              <w:t xml:space="preserve"> </w:t>
            </w:r>
          </w:p>
        </w:tc>
        <w:tc>
          <w:tcPr>
            <w:tcW w:w="1134" w:type="dxa"/>
            <w:noWrap/>
            <w:vAlign w:val="center"/>
            <w:hideMark/>
          </w:tcPr>
          <w:p w14:paraId="698851D7"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3D6D54C1" w14:textId="77777777" w:rsidTr="00D56EE9">
        <w:trPr>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restart"/>
            <w:vAlign w:val="center"/>
            <w:hideMark/>
          </w:tcPr>
          <w:p w14:paraId="1EFE2122" w14:textId="77777777" w:rsidR="0088511D" w:rsidRPr="00FC5B6A" w:rsidRDefault="0088511D" w:rsidP="00D56EE9">
            <w:pPr>
              <w:jc w:val="center"/>
              <w:rPr>
                <w:rFonts w:eastAsia="Times New Roman" w:cstheme="minorHAnsi"/>
                <w:b w:val="0"/>
                <w:bCs w:val="0"/>
                <w:color w:val="000000" w:themeColor="text1"/>
              </w:rPr>
            </w:pPr>
            <w:r w:rsidRPr="00FC5B6A">
              <w:rPr>
                <w:rFonts w:eastAsia="Times New Roman" w:cstheme="minorHAnsi"/>
                <w:color w:val="000000" w:themeColor="text1"/>
              </w:rPr>
              <w:t xml:space="preserve">SINAP - </w:t>
            </w:r>
            <w:proofErr w:type="spellStart"/>
            <w:r w:rsidRPr="00FC5B6A">
              <w:rPr>
                <w:rFonts w:eastAsia="Times New Roman" w:cstheme="minorHAnsi"/>
                <w:color w:val="000000" w:themeColor="text1"/>
              </w:rPr>
              <w:t>Otras</w:t>
            </w:r>
            <w:proofErr w:type="spellEnd"/>
            <w:r w:rsidRPr="00FC5B6A">
              <w:rPr>
                <w:rFonts w:eastAsia="Times New Roman" w:cstheme="minorHAnsi"/>
                <w:color w:val="000000" w:themeColor="text1"/>
              </w:rPr>
              <w:t xml:space="preserve"> </w:t>
            </w:r>
            <w:proofErr w:type="spellStart"/>
            <w:r w:rsidRPr="00FC5B6A">
              <w:rPr>
                <w:rFonts w:eastAsia="Times New Roman" w:cstheme="minorHAnsi"/>
                <w:color w:val="000000" w:themeColor="text1"/>
              </w:rPr>
              <w:t>categorías</w:t>
            </w:r>
            <w:proofErr w:type="spellEnd"/>
          </w:p>
        </w:tc>
        <w:tc>
          <w:tcPr>
            <w:tcW w:w="3544" w:type="dxa"/>
            <w:vAlign w:val="center"/>
            <w:hideMark/>
          </w:tcPr>
          <w:p w14:paraId="1649D977"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Parques</w:t>
            </w:r>
            <w:proofErr w:type="spellEnd"/>
            <w:r w:rsidRPr="00FC5B6A">
              <w:rPr>
                <w:rFonts w:eastAsia="Times New Roman" w:cstheme="minorHAnsi"/>
                <w:color w:val="000000" w:themeColor="text1"/>
              </w:rPr>
              <w:t xml:space="preserve"> </w:t>
            </w:r>
            <w:proofErr w:type="spellStart"/>
            <w:r w:rsidRPr="00FC5B6A">
              <w:rPr>
                <w:rFonts w:eastAsia="Times New Roman" w:cstheme="minorHAnsi"/>
                <w:color w:val="000000" w:themeColor="text1"/>
              </w:rPr>
              <w:t>Regionales</w:t>
            </w:r>
            <w:proofErr w:type="spellEnd"/>
            <w:r w:rsidRPr="00FC5B6A">
              <w:rPr>
                <w:rFonts w:eastAsia="Times New Roman" w:cstheme="minorHAnsi"/>
                <w:color w:val="000000" w:themeColor="text1"/>
              </w:rPr>
              <w:t xml:space="preserve"> Naturales </w:t>
            </w:r>
          </w:p>
        </w:tc>
        <w:tc>
          <w:tcPr>
            <w:tcW w:w="2835" w:type="dxa"/>
            <w:noWrap/>
            <w:vAlign w:val="center"/>
            <w:hideMark/>
          </w:tcPr>
          <w:p w14:paraId="2A2861FB"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Preservación</w:t>
            </w:r>
            <w:proofErr w:type="spellEnd"/>
            <w:r w:rsidRPr="00FC5B6A">
              <w:rPr>
                <w:rFonts w:eastAsia="Times New Roman" w:cstheme="minorHAnsi"/>
                <w:color w:val="000000" w:themeColor="text1"/>
              </w:rPr>
              <w:t xml:space="preserve"> </w:t>
            </w:r>
          </w:p>
        </w:tc>
        <w:tc>
          <w:tcPr>
            <w:tcW w:w="1134" w:type="dxa"/>
            <w:noWrap/>
            <w:vAlign w:val="center"/>
            <w:hideMark/>
          </w:tcPr>
          <w:p w14:paraId="6A43930D"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522838DF"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265953B2"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4BEC9680"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Reservas</w:t>
            </w:r>
            <w:proofErr w:type="spellEnd"/>
            <w:r w:rsidRPr="00FC5B6A">
              <w:rPr>
                <w:rFonts w:eastAsia="Times New Roman" w:cstheme="minorHAnsi"/>
                <w:color w:val="000000" w:themeColor="text1"/>
              </w:rPr>
              <w:t xml:space="preserve"> </w:t>
            </w:r>
            <w:proofErr w:type="spellStart"/>
            <w:r w:rsidRPr="00FC5B6A">
              <w:rPr>
                <w:rFonts w:eastAsia="Times New Roman" w:cstheme="minorHAnsi"/>
                <w:color w:val="000000" w:themeColor="text1"/>
              </w:rPr>
              <w:t>Forestales</w:t>
            </w:r>
            <w:proofErr w:type="spellEnd"/>
            <w:r w:rsidRPr="00FC5B6A">
              <w:rPr>
                <w:rFonts w:eastAsia="Times New Roman" w:cstheme="minorHAnsi"/>
                <w:color w:val="000000" w:themeColor="text1"/>
              </w:rPr>
              <w:t xml:space="preserve"> </w:t>
            </w:r>
            <w:proofErr w:type="spellStart"/>
            <w:r w:rsidRPr="00FC5B6A">
              <w:rPr>
                <w:rFonts w:eastAsia="Times New Roman" w:cstheme="minorHAnsi"/>
                <w:color w:val="000000" w:themeColor="text1"/>
              </w:rPr>
              <w:t>Protectoras</w:t>
            </w:r>
            <w:proofErr w:type="spellEnd"/>
            <w:r w:rsidRPr="00FC5B6A">
              <w:rPr>
                <w:rFonts w:eastAsia="Times New Roman" w:cstheme="minorHAnsi"/>
                <w:color w:val="000000" w:themeColor="text1"/>
              </w:rPr>
              <w:t xml:space="preserve"> Nacionales </w:t>
            </w:r>
          </w:p>
        </w:tc>
        <w:tc>
          <w:tcPr>
            <w:tcW w:w="2835" w:type="dxa"/>
            <w:noWrap/>
            <w:vAlign w:val="center"/>
            <w:hideMark/>
          </w:tcPr>
          <w:p w14:paraId="4E56873D"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688F07B9"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08009084" w14:textId="77777777" w:rsidTr="00D56EE9">
        <w:trPr>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6C1A95BB"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52EF1527"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Reservas</w:t>
            </w:r>
            <w:proofErr w:type="spellEnd"/>
            <w:r w:rsidRPr="00FC5B6A">
              <w:rPr>
                <w:rFonts w:eastAsia="Times New Roman" w:cstheme="minorHAnsi"/>
                <w:color w:val="000000" w:themeColor="text1"/>
              </w:rPr>
              <w:t xml:space="preserve"> </w:t>
            </w:r>
            <w:proofErr w:type="spellStart"/>
            <w:r w:rsidRPr="00FC5B6A">
              <w:rPr>
                <w:rFonts w:eastAsia="Times New Roman" w:cstheme="minorHAnsi"/>
                <w:color w:val="000000" w:themeColor="text1"/>
              </w:rPr>
              <w:t>Forestales</w:t>
            </w:r>
            <w:proofErr w:type="spellEnd"/>
            <w:r w:rsidRPr="00FC5B6A">
              <w:rPr>
                <w:rFonts w:eastAsia="Times New Roman" w:cstheme="minorHAnsi"/>
                <w:color w:val="000000" w:themeColor="text1"/>
              </w:rPr>
              <w:t xml:space="preserve"> </w:t>
            </w:r>
            <w:proofErr w:type="spellStart"/>
            <w:r w:rsidRPr="00FC5B6A">
              <w:rPr>
                <w:rFonts w:eastAsia="Times New Roman" w:cstheme="minorHAnsi"/>
                <w:color w:val="000000" w:themeColor="text1"/>
              </w:rPr>
              <w:t>Protectoras</w:t>
            </w:r>
            <w:proofErr w:type="spellEnd"/>
            <w:r w:rsidRPr="00FC5B6A">
              <w:rPr>
                <w:rFonts w:eastAsia="Times New Roman" w:cstheme="minorHAnsi"/>
                <w:color w:val="000000" w:themeColor="text1"/>
              </w:rPr>
              <w:t xml:space="preserve"> </w:t>
            </w:r>
            <w:proofErr w:type="spellStart"/>
            <w:r w:rsidRPr="00FC5B6A">
              <w:rPr>
                <w:rFonts w:eastAsia="Times New Roman" w:cstheme="minorHAnsi"/>
                <w:color w:val="000000" w:themeColor="text1"/>
              </w:rPr>
              <w:t>Regionales</w:t>
            </w:r>
            <w:proofErr w:type="spellEnd"/>
          </w:p>
        </w:tc>
        <w:tc>
          <w:tcPr>
            <w:tcW w:w="2835" w:type="dxa"/>
            <w:noWrap/>
            <w:vAlign w:val="center"/>
            <w:hideMark/>
          </w:tcPr>
          <w:p w14:paraId="390B5A80"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039BB878"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2B9B26E2"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tcPr>
          <w:p w14:paraId="18B4BEEB" w14:textId="77777777" w:rsidR="0088511D" w:rsidRPr="00FC5B6A" w:rsidRDefault="0088511D" w:rsidP="00D56EE9">
            <w:pPr>
              <w:rPr>
                <w:rFonts w:eastAsia="Times New Roman" w:cstheme="minorHAnsi"/>
                <w:b w:val="0"/>
                <w:bCs w:val="0"/>
                <w:color w:val="000000" w:themeColor="text1"/>
              </w:rPr>
            </w:pPr>
          </w:p>
        </w:tc>
        <w:tc>
          <w:tcPr>
            <w:tcW w:w="3544" w:type="dxa"/>
            <w:vAlign w:val="center"/>
          </w:tcPr>
          <w:p w14:paraId="690D023A"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Distritos Nacionales de Manejo Integrado</w:t>
            </w:r>
          </w:p>
        </w:tc>
        <w:tc>
          <w:tcPr>
            <w:tcW w:w="2835" w:type="dxa"/>
            <w:noWrap/>
            <w:vAlign w:val="center"/>
          </w:tcPr>
          <w:p w14:paraId="331B6880"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p>
        </w:tc>
        <w:tc>
          <w:tcPr>
            <w:tcW w:w="1134" w:type="dxa"/>
            <w:noWrap/>
            <w:vAlign w:val="center"/>
          </w:tcPr>
          <w:p w14:paraId="3D84D2E3"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5D9369C6" w14:textId="77777777" w:rsidTr="00D56EE9">
        <w:trPr>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7A2F6C76"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0860EC32"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Distritos Regionales de Manejo Integrado</w:t>
            </w:r>
          </w:p>
        </w:tc>
        <w:tc>
          <w:tcPr>
            <w:tcW w:w="2835" w:type="dxa"/>
            <w:noWrap/>
            <w:vAlign w:val="center"/>
            <w:hideMark/>
          </w:tcPr>
          <w:p w14:paraId="0952016D"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2A0D5C1C"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5271E565"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7B4DB555"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6F326700"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 xml:space="preserve">Distritos de Conservación y Desarrollo Sostenible de Suelos </w:t>
            </w:r>
          </w:p>
        </w:tc>
        <w:tc>
          <w:tcPr>
            <w:tcW w:w="2835" w:type="dxa"/>
            <w:noWrap/>
            <w:vAlign w:val="center"/>
            <w:hideMark/>
          </w:tcPr>
          <w:p w14:paraId="7BA66534"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398585FC"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048767C7" w14:textId="77777777" w:rsidTr="00D56EE9">
        <w:trPr>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767A2D27"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48232CB9"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Áreas</w:t>
            </w:r>
            <w:proofErr w:type="spellEnd"/>
            <w:r w:rsidRPr="00FC5B6A">
              <w:rPr>
                <w:rFonts w:eastAsia="Times New Roman" w:cstheme="minorHAnsi"/>
                <w:color w:val="000000" w:themeColor="text1"/>
              </w:rPr>
              <w:t xml:space="preserve"> de </w:t>
            </w:r>
            <w:proofErr w:type="spellStart"/>
            <w:r w:rsidRPr="00FC5B6A">
              <w:rPr>
                <w:rFonts w:eastAsia="Times New Roman" w:cstheme="minorHAnsi"/>
                <w:color w:val="000000" w:themeColor="text1"/>
              </w:rPr>
              <w:t>Recreación</w:t>
            </w:r>
            <w:proofErr w:type="spellEnd"/>
            <w:r w:rsidRPr="00FC5B6A">
              <w:rPr>
                <w:rFonts w:eastAsia="Times New Roman" w:cstheme="minorHAnsi"/>
                <w:color w:val="000000" w:themeColor="text1"/>
              </w:rPr>
              <w:t xml:space="preserve"> </w:t>
            </w:r>
          </w:p>
        </w:tc>
        <w:tc>
          <w:tcPr>
            <w:tcW w:w="2835" w:type="dxa"/>
            <w:noWrap/>
            <w:vAlign w:val="center"/>
            <w:hideMark/>
          </w:tcPr>
          <w:p w14:paraId="0877A348"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70BFAE1C"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140CD600"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59A4FDA8"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29A3F0FF"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Reservas Naturales de la Sociedad Civil</w:t>
            </w:r>
          </w:p>
        </w:tc>
        <w:tc>
          <w:tcPr>
            <w:tcW w:w="2835" w:type="dxa"/>
            <w:noWrap/>
            <w:vAlign w:val="center"/>
            <w:hideMark/>
          </w:tcPr>
          <w:p w14:paraId="11612DBF"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5824BA53"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RUNAP</w:t>
            </w:r>
          </w:p>
        </w:tc>
      </w:tr>
      <w:tr w:rsidR="0088511D" w:rsidRPr="00FC5B6A" w14:paraId="43813EB6" w14:textId="77777777" w:rsidTr="00D56EE9">
        <w:trPr>
          <w:trHeight w:val="360"/>
          <w:jc w:val="center"/>
        </w:trPr>
        <w:tc>
          <w:tcPr>
            <w:cnfStyle w:val="001000000000" w:firstRow="0" w:lastRow="0" w:firstColumn="1" w:lastColumn="0" w:oddVBand="0" w:evenVBand="0" w:oddHBand="0" w:evenHBand="0" w:firstRowFirstColumn="0" w:firstRowLastColumn="0" w:lastRowFirstColumn="0" w:lastRowLastColumn="0"/>
            <w:tcW w:w="1696" w:type="dxa"/>
            <w:vMerge w:val="restart"/>
            <w:vAlign w:val="center"/>
            <w:hideMark/>
          </w:tcPr>
          <w:p w14:paraId="4B7A7B4A" w14:textId="77777777" w:rsidR="0088511D" w:rsidRPr="00FC5B6A" w:rsidRDefault="0088511D" w:rsidP="00D56EE9">
            <w:pPr>
              <w:jc w:val="center"/>
              <w:rPr>
                <w:rFonts w:eastAsia="Times New Roman" w:cstheme="minorHAnsi"/>
                <w:b w:val="0"/>
                <w:bCs w:val="0"/>
                <w:color w:val="000000" w:themeColor="text1"/>
              </w:rPr>
            </w:pPr>
            <w:proofErr w:type="spellStart"/>
            <w:r w:rsidRPr="00FC5B6A">
              <w:rPr>
                <w:rFonts w:eastAsia="Times New Roman" w:cstheme="minorHAnsi"/>
                <w:color w:val="000000" w:themeColor="text1"/>
              </w:rPr>
              <w:t>Estrategias</w:t>
            </w:r>
            <w:proofErr w:type="spellEnd"/>
            <w:r w:rsidRPr="00FC5B6A">
              <w:rPr>
                <w:rFonts w:eastAsia="Times New Roman" w:cstheme="minorHAnsi"/>
                <w:color w:val="000000" w:themeColor="text1"/>
              </w:rPr>
              <w:t xml:space="preserve"> </w:t>
            </w:r>
            <w:proofErr w:type="spellStart"/>
            <w:r w:rsidRPr="00FC5B6A">
              <w:rPr>
                <w:rFonts w:eastAsia="Times New Roman" w:cstheme="minorHAnsi"/>
                <w:color w:val="000000" w:themeColor="text1"/>
              </w:rPr>
              <w:t>complementarias</w:t>
            </w:r>
            <w:proofErr w:type="spellEnd"/>
            <w:r w:rsidRPr="00FC5B6A">
              <w:rPr>
                <w:rFonts w:eastAsia="Times New Roman" w:cstheme="minorHAnsi"/>
                <w:color w:val="000000" w:themeColor="text1"/>
              </w:rPr>
              <w:t xml:space="preserve"> de </w:t>
            </w: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w:t>
            </w:r>
          </w:p>
        </w:tc>
        <w:tc>
          <w:tcPr>
            <w:tcW w:w="3544" w:type="dxa"/>
            <w:noWrap/>
            <w:vAlign w:val="center"/>
            <w:hideMark/>
          </w:tcPr>
          <w:p w14:paraId="34D8B60D"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Reserva Forestal Ley 2da de 1959 Tipo A</w:t>
            </w:r>
          </w:p>
        </w:tc>
        <w:tc>
          <w:tcPr>
            <w:tcW w:w="2835" w:type="dxa"/>
            <w:noWrap/>
            <w:vAlign w:val="center"/>
            <w:hideMark/>
          </w:tcPr>
          <w:p w14:paraId="78CCE756"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67D3CD8B"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REAA</w:t>
            </w:r>
          </w:p>
        </w:tc>
      </w:tr>
      <w:tr w:rsidR="0088511D" w:rsidRPr="00FC5B6A" w14:paraId="03E6126F"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504FB790" w14:textId="77777777" w:rsidR="0088511D" w:rsidRPr="00FC5B6A" w:rsidRDefault="0088511D" w:rsidP="00D56EE9">
            <w:pPr>
              <w:rPr>
                <w:rFonts w:eastAsia="Times New Roman" w:cstheme="minorHAnsi"/>
                <w:b w:val="0"/>
                <w:bCs w:val="0"/>
                <w:color w:val="000000" w:themeColor="text1"/>
              </w:rPr>
            </w:pPr>
          </w:p>
        </w:tc>
        <w:tc>
          <w:tcPr>
            <w:tcW w:w="3544" w:type="dxa"/>
            <w:noWrap/>
            <w:vAlign w:val="center"/>
            <w:hideMark/>
          </w:tcPr>
          <w:p w14:paraId="1D41FB49"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Reservas Forestales Ley 2da de 1959 Tipo B, C y Sin Categoría (Previa Decisión de Ordenamiento)</w:t>
            </w:r>
          </w:p>
        </w:tc>
        <w:tc>
          <w:tcPr>
            <w:tcW w:w="2835" w:type="dxa"/>
            <w:noWrap/>
            <w:vAlign w:val="center"/>
            <w:hideMark/>
          </w:tcPr>
          <w:p w14:paraId="0751EF8C"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6D5F8108"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Otras</w:t>
            </w:r>
            <w:proofErr w:type="spellEnd"/>
            <w:r w:rsidRPr="00FC5B6A">
              <w:rPr>
                <w:rFonts w:eastAsia="Times New Roman" w:cstheme="minorHAnsi"/>
                <w:color w:val="000000" w:themeColor="text1"/>
              </w:rPr>
              <w:t xml:space="preserve"> AEIA</w:t>
            </w:r>
          </w:p>
        </w:tc>
      </w:tr>
      <w:tr w:rsidR="0088511D" w:rsidRPr="00FC5B6A" w14:paraId="4DD937C4" w14:textId="77777777" w:rsidTr="00D56EE9">
        <w:trPr>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2C5DEFFC"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2ACC7136"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Sitios Ramsar</w:t>
            </w:r>
          </w:p>
        </w:tc>
        <w:tc>
          <w:tcPr>
            <w:tcW w:w="2835" w:type="dxa"/>
            <w:noWrap/>
            <w:vAlign w:val="center"/>
            <w:hideMark/>
          </w:tcPr>
          <w:p w14:paraId="001FF638"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65356E66"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REAA</w:t>
            </w:r>
          </w:p>
        </w:tc>
      </w:tr>
      <w:tr w:rsidR="0088511D" w:rsidRPr="00FC5B6A" w14:paraId="6B7B614F"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213D33F8"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43FF7BCC"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Reservas</w:t>
            </w:r>
            <w:proofErr w:type="spellEnd"/>
            <w:r w:rsidRPr="00FC5B6A">
              <w:rPr>
                <w:rFonts w:eastAsia="Times New Roman" w:cstheme="minorHAnsi"/>
                <w:color w:val="000000" w:themeColor="text1"/>
              </w:rPr>
              <w:t xml:space="preserve"> de la </w:t>
            </w:r>
            <w:proofErr w:type="spellStart"/>
            <w:r w:rsidRPr="00FC5B6A">
              <w:rPr>
                <w:rFonts w:eastAsia="Times New Roman" w:cstheme="minorHAnsi"/>
                <w:color w:val="000000" w:themeColor="text1"/>
              </w:rPr>
              <w:t>Biósfera</w:t>
            </w:r>
            <w:proofErr w:type="spellEnd"/>
            <w:r w:rsidRPr="00FC5B6A">
              <w:rPr>
                <w:rFonts w:eastAsia="Times New Roman" w:cstheme="minorHAnsi"/>
                <w:color w:val="000000" w:themeColor="text1"/>
              </w:rPr>
              <w:t xml:space="preserve"> </w:t>
            </w:r>
          </w:p>
        </w:tc>
        <w:tc>
          <w:tcPr>
            <w:tcW w:w="2835" w:type="dxa"/>
            <w:noWrap/>
            <w:vAlign w:val="center"/>
            <w:hideMark/>
          </w:tcPr>
          <w:p w14:paraId="3B3D1E9F"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32CC879D"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Otras</w:t>
            </w:r>
            <w:proofErr w:type="spellEnd"/>
            <w:r w:rsidRPr="00FC5B6A">
              <w:rPr>
                <w:rFonts w:eastAsia="Times New Roman" w:cstheme="minorHAnsi"/>
                <w:color w:val="000000" w:themeColor="text1"/>
              </w:rPr>
              <w:t xml:space="preserve"> AEIA</w:t>
            </w:r>
          </w:p>
        </w:tc>
      </w:tr>
      <w:tr w:rsidR="0088511D" w:rsidRPr="00FC5B6A" w14:paraId="455A139C" w14:textId="77777777" w:rsidTr="00D56EE9">
        <w:trPr>
          <w:trHeight w:val="432"/>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7750F447"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77B84D3D"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AICAS</w:t>
            </w:r>
          </w:p>
        </w:tc>
        <w:tc>
          <w:tcPr>
            <w:tcW w:w="2835" w:type="dxa"/>
            <w:noWrap/>
            <w:vAlign w:val="center"/>
            <w:hideMark/>
          </w:tcPr>
          <w:p w14:paraId="74780A54"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3C312B62"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Otras</w:t>
            </w:r>
            <w:proofErr w:type="spellEnd"/>
            <w:r w:rsidRPr="00FC5B6A">
              <w:rPr>
                <w:rFonts w:eastAsia="Times New Roman" w:cstheme="minorHAnsi"/>
                <w:color w:val="000000" w:themeColor="text1"/>
              </w:rPr>
              <w:t xml:space="preserve"> AEIA</w:t>
            </w:r>
          </w:p>
        </w:tc>
      </w:tr>
      <w:tr w:rsidR="0088511D" w:rsidRPr="00FC5B6A" w14:paraId="564D795E" w14:textId="77777777" w:rsidTr="00D56EE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tcPr>
          <w:p w14:paraId="2BAF2CAD" w14:textId="77777777" w:rsidR="0088511D" w:rsidRPr="00FC5B6A" w:rsidRDefault="0088511D" w:rsidP="00D56EE9">
            <w:pPr>
              <w:rPr>
                <w:rFonts w:eastAsia="Times New Roman" w:cstheme="minorHAnsi"/>
                <w:b w:val="0"/>
                <w:bCs w:val="0"/>
                <w:color w:val="000000" w:themeColor="text1"/>
              </w:rPr>
            </w:pPr>
          </w:p>
        </w:tc>
        <w:tc>
          <w:tcPr>
            <w:tcW w:w="3544" w:type="dxa"/>
            <w:vAlign w:val="center"/>
          </w:tcPr>
          <w:p w14:paraId="7A51BCFD"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 xml:space="preserve">Patrimonio de la </w:t>
            </w:r>
            <w:proofErr w:type="spellStart"/>
            <w:r w:rsidRPr="00FC5B6A">
              <w:rPr>
                <w:rFonts w:eastAsia="Times New Roman" w:cstheme="minorHAnsi"/>
                <w:color w:val="000000" w:themeColor="text1"/>
              </w:rPr>
              <w:t>Humanidad</w:t>
            </w:r>
            <w:proofErr w:type="spellEnd"/>
          </w:p>
        </w:tc>
        <w:tc>
          <w:tcPr>
            <w:tcW w:w="2835" w:type="dxa"/>
            <w:noWrap/>
            <w:vAlign w:val="center"/>
          </w:tcPr>
          <w:p w14:paraId="2CCC3571"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p>
        </w:tc>
        <w:tc>
          <w:tcPr>
            <w:tcW w:w="1134" w:type="dxa"/>
            <w:noWrap/>
            <w:vAlign w:val="center"/>
          </w:tcPr>
          <w:p w14:paraId="312AE986"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Otras</w:t>
            </w:r>
            <w:proofErr w:type="spellEnd"/>
            <w:r w:rsidRPr="00FC5B6A">
              <w:rPr>
                <w:rFonts w:eastAsia="Times New Roman" w:cstheme="minorHAnsi"/>
                <w:color w:val="000000" w:themeColor="text1"/>
              </w:rPr>
              <w:t xml:space="preserve"> AEIA</w:t>
            </w:r>
          </w:p>
        </w:tc>
      </w:tr>
      <w:tr w:rsidR="0088511D" w:rsidRPr="00FC5B6A" w14:paraId="117FFCF0" w14:textId="77777777" w:rsidTr="00D56EE9">
        <w:trPr>
          <w:trHeight w:val="432"/>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tcPr>
          <w:p w14:paraId="7535F41F" w14:textId="77777777" w:rsidR="0088511D" w:rsidRPr="00FC5B6A" w:rsidRDefault="0088511D" w:rsidP="00D56EE9">
            <w:pPr>
              <w:rPr>
                <w:rFonts w:eastAsia="Times New Roman" w:cstheme="minorHAnsi"/>
                <w:b w:val="0"/>
                <w:bCs w:val="0"/>
                <w:color w:val="000000" w:themeColor="text1"/>
              </w:rPr>
            </w:pPr>
          </w:p>
        </w:tc>
        <w:tc>
          <w:tcPr>
            <w:tcW w:w="3544" w:type="dxa"/>
            <w:vAlign w:val="center"/>
          </w:tcPr>
          <w:p w14:paraId="31E33576" w14:textId="42E66FE0"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 xml:space="preserve">Distritos de Manejo Integrado – DMI - del Área de Manejo Especial de la Macarena </w:t>
            </w:r>
            <w:r w:rsidR="00C72C9A" w:rsidRPr="00FC5B6A">
              <w:rPr>
                <w:rFonts w:eastAsia="Times New Roman" w:cstheme="minorHAnsi"/>
                <w:color w:val="000000" w:themeColor="text1"/>
                <w:lang w:val="es-CO"/>
              </w:rPr>
              <w:t>–</w:t>
            </w:r>
            <w:r w:rsidRPr="00FC5B6A">
              <w:rPr>
                <w:rFonts w:eastAsia="Times New Roman" w:cstheme="minorHAnsi"/>
                <w:color w:val="000000" w:themeColor="text1"/>
                <w:lang w:val="es-CO"/>
              </w:rPr>
              <w:t xml:space="preserve"> AMEM</w:t>
            </w:r>
          </w:p>
        </w:tc>
        <w:tc>
          <w:tcPr>
            <w:tcW w:w="2835" w:type="dxa"/>
            <w:noWrap/>
            <w:vAlign w:val="center"/>
          </w:tcPr>
          <w:p w14:paraId="7486AE6E"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p>
        </w:tc>
        <w:tc>
          <w:tcPr>
            <w:tcW w:w="1134" w:type="dxa"/>
            <w:noWrap/>
            <w:vAlign w:val="center"/>
          </w:tcPr>
          <w:p w14:paraId="6DDEA57F"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Otras</w:t>
            </w:r>
            <w:proofErr w:type="spellEnd"/>
            <w:r w:rsidRPr="00FC5B6A">
              <w:rPr>
                <w:rFonts w:eastAsia="Times New Roman" w:cstheme="minorHAnsi"/>
                <w:color w:val="000000" w:themeColor="text1"/>
              </w:rPr>
              <w:t xml:space="preserve"> AEIA</w:t>
            </w:r>
          </w:p>
        </w:tc>
      </w:tr>
      <w:tr w:rsidR="0088511D" w:rsidRPr="00FC5B6A" w14:paraId="1270C515"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restart"/>
            <w:vAlign w:val="center"/>
            <w:hideMark/>
          </w:tcPr>
          <w:p w14:paraId="76174A24" w14:textId="77777777" w:rsidR="0088511D" w:rsidRPr="00FC5B6A" w:rsidRDefault="0088511D" w:rsidP="00D56EE9">
            <w:pPr>
              <w:jc w:val="center"/>
              <w:rPr>
                <w:rFonts w:eastAsia="Times New Roman" w:cstheme="minorHAnsi"/>
                <w:b w:val="0"/>
                <w:bCs w:val="0"/>
                <w:color w:val="000000" w:themeColor="text1"/>
              </w:rPr>
            </w:pPr>
            <w:proofErr w:type="spellStart"/>
            <w:r w:rsidRPr="00FC5B6A">
              <w:rPr>
                <w:rFonts w:eastAsia="Times New Roman" w:cstheme="minorHAnsi"/>
                <w:color w:val="000000" w:themeColor="text1"/>
              </w:rPr>
              <w:t>Ecosistemas</w:t>
            </w:r>
            <w:proofErr w:type="spellEnd"/>
            <w:r w:rsidRPr="00FC5B6A">
              <w:rPr>
                <w:rFonts w:eastAsia="Times New Roman" w:cstheme="minorHAnsi"/>
                <w:color w:val="000000" w:themeColor="text1"/>
              </w:rPr>
              <w:t xml:space="preserve"> </w:t>
            </w:r>
            <w:proofErr w:type="spellStart"/>
            <w:r w:rsidRPr="00FC5B6A">
              <w:rPr>
                <w:rFonts w:eastAsia="Times New Roman" w:cstheme="minorHAnsi"/>
                <w:color w:val="000000" w:themeColor="text1"/>
              </w:rPr>
              <w:t>estratégicos</w:t>
            </w:r>
            <w:proofErr w:type="spellEnd"/>
            <w:r w:rsidRPr="00FC5B6A">
              <w:rPr>
                <w:rFonts w:eastAsia="Times New Roman" w:cstheme="minorHAnsi"/>
                <w:color w:val="000000" w:themeColor="text1"/>
              </w:rPr>
              <w:t xml:space="preserve"> </w:t>
            </w:r>
          </w:p>
        </w:tc>
        <w:tc>
          <w:tcPr>
            <w:tcW w:w="3544" w:type="dxa"/>
            <w:vAlign w:val="center"/>
            <w:hideMark/>
          </w:tcPr>
          <w:p w14:paraId="768447CD"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Complejos</w:t>
            </w:r>
            <w:proofErr w:type="spellEnd"/>
            <w:r w:rsidRPr="00FC5B6A">
              <w:rPr>
                <w:rFonts w:eastAsia="Times New Roman" w:cstheme="minorHAnsi"/>
                <w:color w:val="000000" w:themeColor="text1"/>
              </w:rPr>
              <w:t xml:space="preserve"> de Páramos</w:t>
            </w:r>
          </w:p>
        </w:tc>
        <w:tc>
          <w:tcPr>
            <w:tcW w:w="2835" w:type="dxa"/>
            <w:noWrap/>
            <w:vAlign w:val="center"/>
            <w:hideMark/>
          </w:tcPr>
          <w:p w14:paraId="4BC38613"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26FB5175"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REAA</w:t>
            </w:r>
          </w:p>
        </w:tc>
      </w:tr>
      <w:tr w:rsidR="0088511D" w:rsidRPr="00FC5B6A" w14:paraId="4F26C6CB" w14:textId="77777777" w:rsidTr="00D56EE9">
        <w:trPr>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0B45665D"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0074A5F3"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Humedales</w:t>
            </w:r>
            <w:proofErr w:type="spellEnd"/>
            <w:r w:rsidRPr="00FC5B6A">
              <w:rPr>
                <w:rFonts w:eastAsia="Times New Roman" w:cstheme="minorHAnsi"/>
                <w:color w:val="000000" w:themeColor="text1"/>
              </w:rPr>
              <w:t xml:space="preserve"> </w:t>
            </w:r>
          </w:p>
        </w:tc>
        <w:tc>
          <w:tcPr>
            <w:tcW w:w="2835" w:type="dxa"/>
            <w:noWrap/>
            <w:vAlign w:val="center"/>
            <w:hideMark/>
          </w:tcPr>
          <w:p w14:paraId="160F1C8B"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5CC6BBFD"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Otros</w:t>
            </w:r>
            <w:proofErr w:type="spellEnd"/>
          </w:p>
        </w:tc>
      </w:tr>
      <w:tr w:rsidR="0088511D" w:rsidRPr="00FC5B6A" w14:paraId="781FC5E9"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1DA52EDE"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6503BB4F"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 xml:space="preserve">Bosques Secos </w:t>
            </w:r>
            <w:proofErr w:type="spellStart"/>
            <w:r w:rsidRPr="00FC5B6A">
              <w:rPr>
                <w:rFonts w:eastAsia="Times New Roman" w:cstheme="minorHAnsi"/>
                <w:color w:val="000000" w:themeColor="text1"/>
              </w:rPr>
              <w:t>Tropicales</w:t>
            </w:r>
            <w:proofErr w:type="spellEnd"/>
          </w:p>
        </w:tc>
        <w:tc>
          <w:tcPr>
            <w:tcW w:w="2835" w:type="dxa"/>
            <w:noWrap/>
            <w:vAlign w:val="center"/>
            <w:hideMark/>
          </w:tcPr>
          <w:p w14:paraId="5B35BC89"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378EB0C2"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REAA</w:t>
            </w:r>
          </w:p>
        </w:tc>
      </w:tr>
      <w:tr w:rsidR="0088511D" w:rsidRPr="00FC5B6A" w14:paraId="2AD6FD10" w14:textId="77777777" w:rsidTr="00D56EE9">
        <w:trPr>
          <w:trHeight w:val="288"/>
          <w:jc w:val="center"/>
        </w:trPr>
        <w:tc>
          <w:tcPr>
            <w:cnfStyle w:val="001000000000" w:firstRow="0" w:lastRow="0" w:firstColumn="1" w:lastColumn="0" w:oddVBand="0" w:evenVBand="0" w:oddHBand="0" w:evenHBand="0" w:firstRowFirstColumn="0" w:firstRowLastColumn="0" w:lastRowFirstColumn="0" w:lastRowLastColumn="0"/>
            <w:tcW w:w="1696" w:type="dxa"/>
            <w:vMerge/>
            <w:vAlign w:val="center"/>
            <w:hideMark/>
          </w:tcPr>
          <w:p w14:paraId="75F867C3" w14:textId="77777777" w:rsidR="0088511D" w:rsidRPr="00FC5B6A" w:rsidRDefault="0088511D" w:rsidP="00D56EE9">
            <w:pPr>
              <w:rPr>
                <w:rFonts w:eastAsia="Times New Roman" w:cstheme="minorHAnsi"/>
                <w:b w:val="0"/>
                <w:bCs w:val="0"/>
                <w:color w:val="000000" w:themeColor="text1"/>
              </w:rPr>
            </w:pPr>
          </w:p>
        </w:tc>
        <w:tc>
          <w:tcPr>
            <w:tcW w:w="3544" w:type="dxa"/>
            <w:vAlign w:val="center"/>
            <w:hideMark/>
          </w:tcPr>
          <w:p w14:paraId="55B1A83D"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 xml:space="preserve">Manglares, Zonas costeras, estuarios, meandros, ciénagas y otros hábitats de recursos hidrobiológicos </w:t>
            </w:r>
          </w:p>
        </w:tc>
        <w:tc>
          <w:tcPr>
            <w:tcW w:w="2835" w:type="dxa"/>
            <w:noWrap/>
            <w:vAlign w:val="center"/>
            <w:hideMark/>
          </w:tcPr>
          <w:p w14:paraId="1B900481"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proofErr w:type="spellStart"/>
            <w:r w:rsidRPr="00FC5B6A">
              <w:rPr>
                <w:rFonts w:eastAsia="Times New Roman" w:cstheme="minorHAnsi"/>
                <w:color w:val="000000" w:themeColor="text1"/>
              </w:rPr>
              <w:t>Conservación</w:t>
            </w:r>
            <w:proofErr w:type="spellEnd"/>
            <w:r w:rsidRPr="00FC5B6A">
              <w:rPr>
                <w:rFonts w:eastAsia="Times New Roman" w:cstheme="minorHAnsi"/>
                <w:color w:val="000000" w:themeColor="text1"/>
              </w:rPr>
              <w:t xml:space="preserve"> y Desarrollo </w:t>
            </w:r>
            <w:proofErr w:type="spellStart"/>
            <w:r w:rsidRPr="00FC5B6A">
              <w:rPr>
                <w:rFonts w:eastAsia="Times New Roman" w:cstheme="minorHAnsi"/>
                <w:color w:val="000000" w:themeColor="text1"/>
              </w:rPr>
              <w:t>Sostenible</w:t>
            </w:r>
            <w:proofErr w:type="spellEnd"/>
            <w:r w:rsidRPr="00FC5B6A">
              <w:rPr>
                <w:rFonts w:eastAsia="Times New Roman" w:cstheme="minorHAnsi"/>
                <w:color w:val="000000" w:themeColor="text1"/>
              </w:rPr>
              <w:t xml:space="preserve"> </w:t>
            </w:r>
          </w:p>
        </w:tc>
        <w:tc>
          <w:tcPr>
            <w:tcW w:w="1134" w:type="dxa"/>
            <w:noWrap/>
            <w:vAlign w:val="center"/>
            <w:hideMark/>
          </w:tcPr>
          <w:p w14:paraId="7F098241" w14:textId="77777777" w:rsidR="0088511D" w:rsidRPr="00FC5B6A" w:rsidRDefault="0088511D" w:rsidP="00D56EE9">
            <w:pPr>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REAA</w:t>
            </w:r>
          </w:p>
        </w:tc>
      </w:tr>
      <w:tr w:rsidR="0088511D" w:rsidRPr="00FC5B6A" w14:paraId="38020051" w14:textId="77777777" w:rsidTr="00D56EE9">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696" w:type="dxa"/>
            <w:vAlign w:val="center"/>
            <w:hideMark/>
          </w:tcPr>
          <w:p w14:paraId="14B7159F" w14:textId="77777777" w:rsidR="0088511D" w:rsidRPr="00FC5B6A" w:rsidRDefault="0088511D" w:rsidP="00D56EE9">
            <w:pPr>
              <w:jc w:val="center"/>
              <w:rPr>
                <w:rFonts w:eastAsia="Times New Roman" w:cstheme="minorHAnsi"/>
                <w:b w:val="0"/>
                <w:bCs w:val="0"/>
                <w:color w:val="000000" w:themeColor="text1"/>
              </w:rPr>
            </w:pPr>
            <w:r w:rsidRPr="00FC5B6A">
              <w:rPr>
                <w:rFonts w:eastAsia="Times New Roman" w:cstheme="minorHAnsi"/>
                <w:color w:val="000000" w:themeColor="text1"/>
              </w:rPr>
              <w:t xml:space="preserve">Plan Nacional de </w:t>
            </w:r>
            <w:proofErr w:type="spellStart"/>
            <w:r w:rsidRPr="00FC5B6A">
              <w:rPr>
                <w:rFonts w:eastAsia="Times New Roman" w:cstheme="minorHAnsi"/>
                <w:color w:val="000000" w:themeColor="text1"/>
              </w:rPr>
              <w:t>Restauración</w:t>
            </w:r>
            <w:proofErr w:type="spellEnd"/>
            <w:r w:rsidRPr="00FC5B6A">
              <w:rPr>
                <w:rFonts w:eastAsia="Times New Roman" w:cstheme="minorHAnsi"/>
                <w:color w:val="000000" w:themeColor="text1"/>
              </w:rPr>
              <w:t xml:space="preserve"> </w:t>
            </w:r>
          </w:p>
        </w:tc>
        <w:tc>
          <w:tcPr>
            <w:tcW w:w="3544" w:type="dxa"/>
            <w:vAlign w:val="center"/>
            <w:hideMark/>
          </w:tcPr>
          <w:p w14:paraId="4EC54130"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Áreas disturbadas susceptibles a procesos de Restauración Ecológica, Recuperación o Rehabilitación</w:t>
            </w:r>
          </w:p>
        </w:tc>
        <w:tc>
          <w:tcPr>
            <w:tcW w:w="2835" w:type="dxa"/>
            <w:noWrap/>
            <w:vAlign w:val="center"/>
            <w:hideMark/>
          </w:tcPr>
          <w:p w14:paraId="0062B2C5"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lang w:val="es-CO"/>
              </w:rPr>
            </w:pPr>
            <w:r w:rsidRPr="00FC5B6A">
              <w:rPr>
                <w:rFonts w:eastAsia="Times New Roman" w:cstheme="minorHAnsi"/>
                <w:color w:val="000000" w:themeColor="text1"/>
                <w:lang w:val="es-CO"/>
              </w:rPr>
              <w:t>Definidas en el Plan Nacional de Restauración</w:t>
            </w:r>
          </w:p>
        </w:tc>
        <w:tc>
          <w:tcPr>
            <w:tcW w:w="1134" w:type="dxa"/>
            <w:noWrap/>
            <w:vAlign w:val="center"/>
            <w:hideMark/>
          </w:tcPr>
          <w:p w14:paraId="6570EB5B" w14:textId="77777777" w:rsidR="0088511D" w:rsidRPr="00FC5B6A" w:rsidRDefault="0088511D" w:rsidP="00D56EE9">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themeColor="text1"/>
              </w:rPr>
            </w:pPr>
            <w:r w:rsidRPr="00FC5B6A">
              <w:rPr>
                <w:rFonts w:eastAsia="Times New Roman" w:cstheme="minorHAnsi"/>
                <w:color w:val="000000" w:themeColor="text1"/>
              </w:rPr>
              <w:t>REAA</w:t>
            </w:r>
          </w:p>
        </w:tc>
      </w:tr>
    </w:tbl>
    <w:p w14:paraId="1911F07F" w14:textId="794E050F" w:rsidR="0088511D" w:rsidRPr="00FC5B6A" w:rsidRDefault="0088511D" w:rsidP="0049212F">
      <w:pPr>
        <w:keepNext/>
        <w:spacing w:after="0" w:line="276" w:lineRule="auto"/>
        <w:rPr>
          <w:rFonts w:cstheme="minorHAnsi"/>
          <w:color w:val="000000" w:themeColor="text1"/>
        </w:rPr>
      </w:pPr>
      <w:bookmarkStart w:id="100" w:name="_Hlk57627035"/>
      <w:bookmarkEnd w:id="98"/>
    </w:p>
    <w:bookmarkEnd w:id="100"/>
    <w:p w14:paraId="27A763BC" w14:textId="0E6942A4" w:rsidR="0088511D" w:rsidRPr="00FC5B6A" w:rsidRDefault="0088511D" w:rsidP="22DF84DA">
      <w:pPr>
        <w:keepNext/>
        <w:spacing w:after="0" w:line="276" w:lineRule="auto"/>
        <w:ind w:left="360"/>
        <w:jc w:val="center"/>
        <w:rPr>
          <w:sz w:val="20"/>
          <w:szCs w:val="20"/>
        </w:rPr>
      </w:pPr>
    </w:p>
    <w:p w14:paraId="5BA9FC4F" w14:textId="38509AF8" w:rsidR="0088511D" w:rsidRPr="00FC5B6A" w:rsidRDefault="0088511D" w:rsidP="00B65467">
      <w:pPr>
        <w:pStyle w:val="Ttulo3"/>
        <w:numPr>
          <w:ilvl w:val="2"/>
          <w:numId w:val="20"/>
        </w:numPr>
        <w:jc w:val="both"/>
        <w:rPr>
          <w:rFonts w:asciiTheme="minorHAnsi" w:hAnsiTheme="minorHAnsi" w:cstheme="minorHAnsi"/>
          <w:color w:val="000000" w:themeColor="text1"/>
        </w:rPr>
      </w:pPr>
      <w:bookmarkStart w:id="101" w:name="_Toc72330022"/>
      <w:bookmarkStart w:id="102" w:name="_Toc186104584"/>
      <w:bookmarkStart w:id="103" w:name="_Toc224921367"/>
      <w:r w:rsidRPr="00FC5B6A">
        <w:rPr>
          <w:rFonts w:asciiTheme="minorHAnsi" w:hAnsiTheme="minorHAnsi" w:cstheme="minorHAnsi"/>
          <w:color w:val="000000" w:themeColor="text1"/>
        </w:rPr>
        <w:t xml:space="preserve">ETAPA 5. Construcción de mapas finales de </w:t>
      </w:r>
      <w:r w:rsidR="001B1E22" w:rsidRPr="00FC5B6A">
        <w:rPr>
          <w:rFonts w:asciiTheme="minorHAnsi" w:hAnsiTheme="minorHAnsi" w:cstheme="minorHAnsi"/>
          <w:color w:val="000000" w:themeColor="text1"/>
        </w:rPr>
        <w:t>la</w:t>
      </w:r>
      <w:r w:rsidRPr="00FC5B6A">
        <w:rPr>
          <w:rFonts w:asciiTheme="minorHAnsi" w:hAnsiTheme="minorHAnsi" w:cstheme="minorHAnsi"/>
          <w:color w:val="000000" w:themeColor="text1"/>
        </w:rPr>
        <w:t xml:space="preserve"> Zonificación Ambiental de las Subregiones </w:t>
      </w:r>
      <w:bookmarkEnd w:id="101"/>
      <w:r w:rsidR="001B1E22" w:rsidRPr="00FC5B6A">
        <w:rPr>
          <w:rFonts w:asciiTheme="minorHAnsi" w:hAnsiTheme="minorHAnsi" w:cstheme="minorHAnsi"/>
          <w:color w:val="000000" w:themeColor="text1"/>
        </w:rPr>
        <w:t>Supramunicipales.</w:t>
      </w:r>
      <w:bookmarkEnd w:id="102"/>
      <w:bookmarkEnd w:id="103"/>
    </w:p>
    <w:p w14:paraId="47C1E4AB" w14:textId="77777777" w:rsidR="00927145" w:rsidRPr="00FC5B6A" w:rsidRDefault="00927145" w:rsidP="0088511D">
      <w:pPr>
        <w:spacing w:after="0" w:line="276" w:lineRule="auto"/>
        <w:jc w:val="both"/>
        <w:rPr>
          <w:rFonts w:eastAsiaTheme="majorEastAsia" w:cstheme="minorHAnsi"/>
          <w:noProof/>
          <w:color w:val="000000" w:themeColor="text1"/>
        </w:rPr>
      </w:pPr>
    </w:p>
    <w:p w14:paraId="129C25BB" w14:textId="5BAF4B46" w:rsidR="0088511D" w:rsidRPr="00FC5B6A" w:rsidRDefault="00B55F14" w:rsidP="005A4F56">
      <w:pPr>
        <w:spacing w:after="0" w:line="240" w:lineRule="auto"/>
        <w:jc w:val="both"/>
        <w:rPr>
          <w:rFonts w:cstheme="minorHAnsi"/>
          <w:color w:val="000000" w:themeColor="text1"/>
        </w:rPr>
      </w:pPr>
      <w:r w:rsidRPr="00FC5B6A">
        <w:rPr>
          <w:rFonts w:eastAsiaTheme="majorEastAsia" w:cstheme="minorHAnsi"/>
          <w:noProof/>
          <w:color w:val="000000" w:themeColor="text1"/>
        </w:rPr>
        <w:t>L</w:t>
      </w:r>
      <w:r w:rsidR="0088511D" w:rsidRPr="00FC5B6A">
        <w:rPr>
          <w:rFonts w:cstheme="minorHAnsi"/>
          <w:color w:val="000000" w:themeColor="text1"/>
        </w:rPr>
        <w:t xml:space="preserve">a definición de las categorías de manejo de Zonificación Ambiental, se obtuvieron a partir de la relación entre </w:t>
      </w:r>
      <w:r w:rsidR="008F3BAC" w:rsidRPr="00FC5B6A">
        <w:rPr>
          <w:rFonts w:cstheme="minorHAnsi"/>
          <w:color w:val="000000" w:themeColor="text1"/>
        </w:rPr>
        <w:t xml:space="preserve">la oferta de SS.EE y </w:t>
      </w:r>
      <w:r w:rsidR="00E5224A" w:rsidRPr="00FC5B6A">
        <w:rPr>
          <w:rFonts w:cstheme="minorHAnsi"/>
          <w:color w:val="000000" w:themeColor="text1"/>
        </w:rPr>
        <w:t>las dinámicas</w:t>
      </w:r>
      <w:r w:rsidR="008F3BAC" w:rsidRPr="00FC5B6A">
        <w:rPr>
          <w:rFonts w:cstheme="minorHAnsi"/>
          <w:color w:val="000000" w:themeColor="text1"/>
        </w:rPr>
        <w:t xml:space="preserve"> </w:t>
      </w:r>
      <w:r w:rsidR="00E5224A" w:rsidRPr="00FC5B6A">
        <w:rPr>
          <w:rFonts w:cstheme="minorHAnsi"/>
          <w:color w:val="000000" w:themeColor="text1"/>
        </w:rPr>
        <w:t>socioambientales</w:t>
      </w:r>
      <w:r w:rsidR="0088511D" w:rsidRPr="00FC5B6A">
        <w:rPr>
          <w:rFonts w:cstheme="minorHAnsi"/>
          <w:color w:val="000000" w:themeColor="text1"/>
        </w:rPr>
        <w:t xml:space="preserve">, permitiendo clasificar cada una de las áreas identificadas de acuerdo con 9 categorías resultantes que abarcan todo el espectro en dicha relación. Esta clasificación es sensible al hecho de que la realidad territorial no es siempre de categorías absolutas, y muchas áreas, donde la presencia e influencia humana es evidente (generando mosaicos de coberturas o ecosistemas), sumado a la escala de análisis (100K) de este trabajo, obligan a la definición de categorías de manejo que son híbridos entre las principales </w:t>
      </w:r>
      <w:r w:rsidR="0088511D" w:rsidRPr="00FC5B6A">
        <w:rPr>
          <w:rFonts w:cstheme="minorHAnsi"/>
          <w:color w:val="000000" w:themeColor="text1"/>
        </w:rPr>
        <w:lastRenderedPageBreak/>
        <w:t xml:space="preserve">categorías, de forma tal que no quede ninguna parte de cada Subregión </w:t>
      </w:r>
      <w:r w:rsidR="00E5224A" w:rsidRPr="00FC5B6A">
        <w:rPr>
          <w:rFonts w:cstheme="minorHAnsi"/>
          <w:color w:val="000000" w:themeColor="text1"/>
        </w:rPr>
        <w:t>supramunicipal</w:t>
      </w:r>
      <w:r w:rsidR="0088511D" w:rsidRPr="00FC5B6A">
        <w:rPr>
          <w:rFonts w:cstheme="minorHAnsi"/>
          <w:color w:val="000000" w:themeColor="text1"/>
        </w:rPr>
        <w:t xml:space="preserve"> sin ser zonificada.</w:t>
      </w:r>
    </w:p>
    <w:p w14:paraId="0AE4AD14" w14:textId="77777777" w:rsidR="00FC0CEE" w:rsidRPr="00FC5B6A" w:rsidRDefault="00FC0CEE" w:rsidP="005A4F56">
      <w:pPr>
        <w:spacing w:after="0" w:line="240" w:lineRule="auto"/>
        <w:jc w:val="both"/>
        <w:rPr>
          <w:rFonts w:cstheme="minorHAnsi"/>
          <w:color w:val="000000" w:themeColor="text1"/>
        </w:rPr>
      </w:pPr>
    </w:p>
    <w:p w14:paraId="0B601F79" w14:textId="3886FC3E" w:rsidR="0088511D" w:rsidRPr="00FC5B6A" w:rsidRDefault="0088511D" w:rsidP="005A4F56">
      <w:pPr>
        <w:spacing w:after="0" w:line="240" w:lineRule="auto"/>
        <w:jc w:val="both"/>
        <w:rPr>
          <w:color w:val="000000" w:themeColor="text1"/>
        </w:rPr>
      </w:pPr>
      <w:r w:rsidRPr="00FC5B6A">
        <w:rPr>
          <w:color w:val="000000" w:themeColor="text1"/>
        </w:rPr>
        <w:t>De esta manera, las categorías de manejo definida</w:t>
      </w:r>
      <w:r w:rsidR="004156FB" w:rsidRPr="00FC5B6A">
        <w:rPr>
          <w:color w:val="000000" w:themeColor="text1"/>
        </w:rPr>
        <w:t>s</w:t>
      </w:r>
      <w:r w:rsidRPr="00FC5B6A">
        <w:rPr>
          <w:color w:val="000000" w:themeColor="text1"/>
        </w:rPr>
        <w:t xml:space="preserve"> para las Áreas de Especial Interés Ambiental (AEIA), </w:t>
      </w:r>
      <w:r w:rsidR="004156FB" w:rsidRPr="00FC5B6A">
        <w:rPr>
          <w:color w:val="000000" w:themeColor="text1"/>
        </w:rPr>
        <w:t xml:space="preserve">fueron </w:t>
      </w:r>
      <w:r w:rsidRPr="00FC5B6A">
        <w:rPr>
          <w:color w:val="000000" w:themeColor="text1"/>
        </w:rPr>
        <w:t xml:space="preserve">organizadas mediante una matriz de categorización de la zonificación ambiental en </w:t>
      </w:r>
      <w:r w:rsidR="004B7A09" w:rsidRPr="00FC5B6A">
        <w:rPr>
          <w:color w:val="000000" w:themeColor="text1"/>
        </w:rPr>
        <w:t>las 19</w:t>
      </w:r>
      <w:r w:rsidRPr="00FC5B6A">
        <w:rPr>
          <w:color w:val="000000" w:themeColor="text1"/>
        </w:rPr>
        <w:t xml:space="preserve"> Subregiones </w:t>
      </w:r>
      <w:r w:rsidR="004B7A09" w:rsidRPr="00FC5B6A">
        <w:rPr>
          <w:color w:val="000000" w:themeColor="text1"/>
        </w:rPr>
        <w:t>supramunicipales</w:t>
      </w:r>
      <w:r w:rsidRPr="00FC5B6A">
        <w:rPr>
          <w:color w:val="000000" w:themeColor="text1"/>
        </w:rPr>
        <w:t xml:space="preserve"> (Tabla </w:t>
      </w:r>
      <w:r w:rsidR="000C325D">
        <w:rPr>
          <w:color w:val="000000" w:themeColor="text1"/>
        </w:rPr>
        <w:t>11</w:t>
      </w:r>
      <w:r w:rsidRPr="00FC5B6A">
        <w:rPr>
          <w:color w:val="000000" w:themeColor="text1"/>
        </w:rPr>
        <w:t xml:space="preserve">), finalizando el proceso, con la generación de mapas de Zonificación Ambiental de cada una de las </w:t>
      </w:r>
      <w:r w:rsidR="00025C62" w:rsidRPr="00FC5B6A">
        <w:rPr>
          <w:color w:val="000000" w:themeColor="text1"/>
        </w:rPr>
        <w:t>s</w:t>
      </w:r>
      <w:r w:rsidRPr="00FC5B6A">
        <w:rPr>
          <w:color w:val="000000" w:themeColor="text1"/>
        </w:rPr>
        <w:t xml:space="preserve">ubregiones, utilizando las categorías de manejo antes descritas </w:t>
      </w:r>
      <w:r w:rsidR="00FE1F12" w:rsidRPr="00FC5B6A">
        <w:rPr>
          <w:color w:val="000000" w:themeColor="text1"/>
        </w:rPr>
        <w:fldChar w:fldCharType="begin"/>
      </w:r>
      <w:r w:rsidR="00FE1F12" w:rsidRPr="00FC5B6A">
        <w:rPr>
          <w:color w:val="000000" w:themeColor="text1"/>
        </w:rPr>
        <w:instrText xml:space="preserve"> REF _Ref167533256 \h </w:instrText>
      </w:r>
      <w:r w:rsidR="006E0C08" w:rsidRPr="00FC5B6A">
        <w:rPr>
          <w:color w:val="000000" w:themeColor="text1"/>
        </w:rPr>
        <w:instrText xml:space="preserve"> \* MERGEFORMAT </w:instrText>
      </w:r>
      <w:r w:rsidR="00FE1F12" w:rsidRPr="00FC5B6A">
        <w:rPr>
          <w:color w:val="000000" w:themeColor="text1"/>
        </w:rPr>
      </w:r>
      <w:r w:rsidR="00FE1F12" w:rsidRPr="00FC5B6A">
        <w:rPr>
          <w:color w:val="000000" w:themeColor="text1"/>
        </w:rPr>
        <w:fldChar w:fldCharType="separate"/>
      </w:r>
      <w:proofErr w:type="gramStart"/>
      <w:r w:rsidR="00E74A31" w:rsidRPr="00FC5B6A">
        <w:t xml:space="preserve">Figura  </w:t>
      </w:r>
      <w:r w:rsidR="00E74A31" w:rsidRPr="00FC5B6A">
        <w:rPr>
          <w:noProof/>
        </w:rPr>
        <w:t>9</w:t>
      </w:r>
      <w:proofErr w:type="gramEnd"/>
      <w:r w:rsidR="00FE1F12" w:rsidRPr="00FC5B6A">
        <w:rPr>
          <w:color w:val="000000" w:themeColor="text1"/>
        </w:rPr>
        <w:fldChar w:fldCharType="end"/>
      </w:r>
      <w:r w:rsidRPr="00FC5B6A">
        <w:rPr>
          <w:color w:val="000000" w:themeColor="text1"/>
        </w:rPr>
        <w:t xml:space="preserve">). </w:t>
      </w:r>
    </w:p>
    <w:p w14:paraId="01A422B4" w14:textId="77777777" w:rsidR="0088511D" w:rsidRPr="00FC5B6A" w:rsidRDefault="0088511D" w:rsidP="005A4F56">
      <w:pPr>
        <w:spacing w:after="0" w:line="240" w:lineRule="auto"/>
        <w:jc w:val="both"/>
        <w:rPr>
          <w:color w:val="000000" w:themeColor="text1"/>
        </w:rPr>
      </w:pPr>
    </w:p>
    <w:p w14:paraId="75C8FA7C" w14:textId="326009F9" w:rsidR="00FE1F12" w:rsidRPr="00FC5B6A" w:rsidRDefault="00FE1F12" w:rsidP="22DF84DA">
      <w:pPr>
        <w:keepNext/>
        <w:spacing w:after="0" w:line="276" w:lineRule="auto"/>
        <w:ind w:left="360"/>
        <w:jc w:val="center"/>
        <w:rPr>
          <w:sz w:val="20"/>
          <w:szCs w:val="20"/>
        </w:rPr>
      </w:pPr>
    </w:p>
    <w:p w14:paraId="12D0A323" w14:textId="18776C6B" w:rsidR="00FE1F12" w:rsidRPr="00FC5B6A" w:rsidRDefault="00FE1F12" w:rsidP="00666A4A">
      <w:pPr>
        <w:keepNext/>
        <w:spacing w:after="0" w:line="276" w:lineRule="auto"/>
        <w:ind w:left="360"/>
        <w:jc w:val="center"/>
        <w:rPr>
          <w:rFonts w:cstheme="minorHAnsi"/>
          <w:bCs/>
          <w:sz w:val="20"/>
          <w:szCs w:val="16"/>
        </w:rPr>
      </w:pPr>
      <w:bookmarkStart w:id="104" w:name="_Ref167533256"/>
      <w:bookmarkStart w:id="105" w:name="_Toc170133236"/>
      <w:r w:rsidRPr="00FC5B6A">
        <w:rPr>
          <w:rFonts w:cstheme="minorHAnsi"/>
          <w:bCs/>
          <w:sz w:val="20"/>
          <w:szCs w:val="16"/>
        </w:rPr>
        <w:t xml:space="preserve">Figura  </w:t>
      </w:r>
      <w:r w:rsidRPr="00FC5B6A">
        <w:rPr>
          <w:rFonts w:cstheme="minorHAnsi"/>
          <w:bCs/>
          <w:sz w:val="20"/>
          <w:szCs w:val="16"/>
        </w:rPr>
        <w:fldChar w:fldCharType="begin"/>
      </w:r>
      <w:r w:rsidRPr="00FC5B6A">
        <w:rPr>
          <w:rFonts w:cstheme="minorHAnsi"/>
          <w:bCs/>
          <w:sz w:val="20"/>
          <w:szCs w:val="16"/>
        </w:rPr>
        <w:instrText xml:space="preserve"> SEQ Figura_ \* ARABIC </w:instrText>
      </w:r>
      <w:r w:rsidRPr="00FC5B6A">
        <w:rPr>
          <w:rFonts w:cstheme="minorHAnsi"/>
          <w:bCs/>
          <w:sz w:val="20"/>
          <w:szCs w:val="16"/>
        </w:rPr>
        <w:fldChar w:fldCharType="separate"/>
      </w:r>
      <w:r w:rsidR="000C325D">
        <w:rPr>
          <w:rFonts w:cstheme="minorHAnsi"/>
          <w:bCs/>
          <w:noProof/>
          <w:sz w:val="20"/>
          <w:szCs w:val="16"/>
        </w:rPr>
        <w:t>9</w:t>
      </w:r>
      <w:r w:rsidRPr="00FC5B6A">
        <w:rPr>
          <w:rFonts w:cstheme="minorHAnsi"/>
          <w:bCs/>
          <w:sz w:val="20"/>
          <w:szCs w:val="16"/>
        </w:rPr>
        <w:fldChar w:fldCharType="end"/>
      </w:r>
      <w:bookmarkEnd w:id="104"/>
      <w:r w:rsidRPr="00FC5B6A">
        <w:rPr>
          <w:rFonts w:cstheme="minorHAnsi"/>
          <w:bCs/>
          <w:sz w:val="20"/>
          <w:szCs w:val="16"/>
        </w:rPr>
        <w:t>. Ruta para la definición de las categorías de manejo de las Bases Técnicas para la Zonificación Ambiental de las 16 Subregiones PDET</w:t>
      </w:r>
      <w:r w:rsidR="00F35552" w:rsidRPr="00FC5B6A">
        <w:rPr>
          <w:rFonts w:cstheme="minorHAnsi"/>
          <w:bCs/>
          <w:sz w:val="20"/>
          <w:szCs w:val="16"/>
        </w:rPr>
        <w:t xml:space="preserve"> y las 19 unidades supramunicipales no PDET</w:t>
      </w:r>
      <w:r w:rsidRPr="00FC5B6A">
        <w:rPr>
          <w:rFonts w:cstheme="minorHAnsi"/>
          <w:bCs/>
          <w:sz w:val="20"/>
          <w:szCs w:val="16"/>
        </w:rPr>
        <w:t>.</w:t>
      </w:r>
      <w:bookmarkEnd w:id="105"/>
      <w:r w:rsidRPr="00FC5B6A">
        <w:rPr>
          <w:rFonts w:cstheme="minorHAnsi"/>
          <w:bCs/>
          <w:sz w:val="20"/>
          <w:szCs w:val="16"/>
        </w:rPr>
        <w:t xml:space="preserve">  </w:t>
      </w:r>
    </w:p>
    <w:tbl>
      <w:tblPr>
        <w:tblW w:w="5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43"/>
        <w:gridCol w:w="1315"/>
        <w:gridCol w:w="2041"/>
        <w:gridCol w:w="1632"/>
        <w:gridCol w:w="1769"/>
        <w:gridCol w:w="1630"/>
        <w:gridCol w:w="1088"/>
      </w:tblGrid>
      <w:tr w:rsidR="0088511D" w:rsidRPr="00FC5B6A" w14:paraId="005FDCB1" w14:textId="77777777" w:rsidTr="00D56EE9">
        <w:trPr>
          <w:trHeight w:val="61"/>
          <w:tblHeader/>
          <w:jc w:val="center"/>
        </w:trPr>
        <w:tc>
          <w:tcPr>
            <w:tcW w:w="409" w:type="pct"/>
            <w:vMerge w:val="restart"/>
            <w:tcBorders>
              <w:top w:val="single" w:sz="4" w:space="0" w:color="FFFFFF" w:themeColor="background1"/>
              <w:left w:val="single" w:sz="4" w:space="0" w:color="FFFFFF" w:themeColor="background1"/>
              <w:right w:val="single" w:sz="18" w:space="0" w:color="000000" w:themeColor="text1"/>
            </w:tcBorders>
            <w:tcMar>
              <w:top w:w="13" w:type="dxa"/>
              <w:left w:w="13" w:type="dxa"/>
              <w:bottom w:w="0" w:type="dxa"/>
              <w:right w:w="13" w:type="dxa"/>
            </w:tcMar>
            <w:vAlign w:val="center"/>
          </w:tcPr>
          <w:p w14:paraId="049E17A0"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2417" w:type="pct"/>
            <w:gridSpan w:val="3"/>
            <w:tcBorders>
              <w:top w:val="single" w:sz="18" w:space="0" w:color="000000" w:themeColor="text1"/>
              <w:left w:val="single" w:sz="18" w:space="0" w:color="000000" w:themeColor="text1"/>
              <w:right w:val="single" w:sz="18" w:space="0" w:color="000000" w:themeColor="text1"/>
            </w:tcBorders>
            <w:shd w:val="clear" w:color="auto" w:fill="D9D9D9" w:themeFill="background1" w:themeFillShade="D9"/>
            <w:tcMar>
              <w:top w:w="13" w:type="dxa"/>
              <w:left w:w="13" w:type="dxa"/>
              <w:bottom w:w="0" w:type="dxa"/>
              <w:right w:w="13" w:type="dxa"/>
            </w:tcMar>
            <w:vAlign w:val="center"/>
          </w:tcPr>
          <w:p w14:paraId="3FFCF7D1" w14:textId="77777777" w:rsidR="0088511D" w:rsidRPr="00FC5B6A" w:rsidRDefault="0088511D" w:rsidP="00FE1F12">
            <w:pPr>
              <w:pStyle w:val="Normal1"/>
              <w:keepNext/>
              <w:tabs>
                <w:tab w:val="left" w:pos="8789"/>
              </w:tabs>
              <w:contextualSpacing/>
              <w:jc w:val="center"/>
              <w:rPr>
                <w:rFonts w:asciiTheme="minorHAnsi" w:hAnsiTheme="minorHAnsi" w:cstheme="minorHAnsi"/>
                <w:b/>
                <w:bCs/>
                <w:color w:val="000000" w:themeColor="text1"/>
              </w:rPr>
            </w:pPr>
          </w:p>
          <w:p w14:paraId="66BBEA96" w14:textId="77777777" w:rsidR="0088511D" w:rsidRPr="00FC5B6A" w:rsidRDefault="0088511D" w:rsidP="00FE1F12">
            <w:pPr>
              <w:pStyle w:val="Normal1"/>
              <w:keepNext/>
              <w:tabs>
                <w:tab w:val="left" w:pos="8789"/>
              </w:tabs>
              <w:contextualSpacing/>
              <w:jc w:val="center"/>
              <w:rPr>
                <w:rFonts w:asciiTheme="minorHAnsi" w:hAnsiTheme="minorHAnsi" w:cstheme="minorHAnsi"/>
                <w:b/>
                <w:bCs/>
                <w:color w:val="000000" w:themeColor="text1"/>
              </w:rPr>
            </w:pPr>
            <w:r w:rsidRPr="00FC5B6A">
              <w:rPr>
                <w:rFonts w:asciiTheme="minorHAnsi" w:hAnsiTheme="minorHAnsi" w:cstheme="minorHAnsi"/>
                <w:b/>
                <w:bCs/>
                <w:color w:val="000000" w:themeColor="text1"/>
              </w:rPr>
              <w:t>Áreas de Especial Interés Ambiental - AEIA</w:t>
            </w:r>
          </w:p>
          <w:p w14:paraId="52235847" w14:textId="77777777" w:rsidR="0088511D" w:rsidRPr="00FC5B6A" w:rsidRDefault="0088511D" w:rsidP="00FE1F12">
            <w:pPr>
              <w:pStyle w:val="Normal1"/>
              <w:keepNext/>
              <w:tabs>
                <w:tab w:val="left" w:pos="8789"/>
              </w:tabs>
              <w:contextualSpacing/>
              <w:jc w:val="center"/>
              <w:rPr>
                <w:rFonts w:asciiTheme="minorHAnsi" w:hAnsiTheme="minorHAnsi" w:cstheme="minorHAnsi"/>
                <w:b/>
                <w:bCs/>
                <w:color w:val="000000" w:themeColor="text1"/>
              </w:rPr>
            </w:pPr>
          </w:p>
        </w:tc>
        <w:tc>
          <w:tcPr>
            <w:tcW w:w="857" w:type="pct"/>
            <w:vMerge w:val="restart"/>
            <w:tcBorders>
              <w:top w:val="single" w:sz="18" w:space="0" w:color="000000" w:themeColor="text1"/>
              <w:left w:val="single" w:sz="18" w:space="0" w:color="000000" w:themeColor="text1"/>
              <w:right w:val="single" w:sz="18" w:space="0" w:color="000000" w:themeColor="text1"/>
            </w:tcBorders>
            <w:shd w:val="clear" w:color="auto" w:fill="D9D9D9"/>
            <w:tcMar>
              <w:top w:w="13" w:type="dxa"/>
              <w:left w:w="13" w:type="dxa"/>
              <w:bottom w:w="0" w:type="dxa"/>
              <w:right w:w="13" w:type="dxa"/>
            </w:tcMar>
            <w:vAlign w:val="center"/>
          </w:tcPr>
          <w:p w14:paraId="30FE8931"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b/>
                <w:bCs/>
                <w:color w:val="000000" w:themeColor="text1"/>
              </w:rPr>
              <w:t>Franja de Estabilización</w:t>
            </w:r>
          </w:p>
        </w:tc>
        <w:tc>
          <w:tcPr>
            <w:tcW w:w="790" w:type="pct"/>
            <w:vMerge w:val="restart"/>
            <w:tcBorders>
              <w:top w:val="single" w:sz="18" w:space="0" w:color="000000" w:themeColor="text1"/>
              <w:left w:val="single" w:sz="18" w:space="0" w:color="000000" w:themeColor="text1"/>
              <w:right w:val="single" w:sz="18" w:space="0" w:color="000000" w:themeColor="text1"/>
            </w:tcBorders>
            <w:shd w:val="clear" w:color="auto" w:fill="D9D9D9"/>
            <w:vAlign w:val="center"/>
          </w:tcPr>
          <w:p w14:paraId="2FE1D7C5"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b/>
                <w:bCs/>
                <w:color w:val="000000" w:themeColor="text1"/>
              </w:rPr>
              <w:t>Frontera Agrícola</w:t>
            </w:r>
          </w:p>
        </w:tc>
        <w:tc>
          <w:tcPr>
            <w:tcW w:w="527" w:type="pct"/>
            <w:vMerge w:val="restart"/>
            <w:tcBorders>
              <w:top w:val="single" w:sz="4" w:space="0" w:color="FFFFFF" w:themeColor="background1"/>
              <w:left w:val="single" w:sz="18" w:space="0" w:color="000000" w:themeColor="text1"/>
              <w:right w:val="single" w:sz="4" w:space="0" w:color="FFFFFF" w:themeColor="background1"/>
            </w:tcBorders>
            <w:shd w:val="clear" w:color="auto" w:fill="FFFFFF" w:themeFill="background1"/>
            <w:vAlign w:val="center"/>
          </w:tcPr>
          <w:p w14:paraId="061F7889"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r>
      <w:tr w:rsidR="0088511D" w:rsidRPr="00FC5B6A" w14:paraId="2FE809C1" w14:textId="77777777" w:rsidTr="00D56EE9">
        <w:trPr>
          <w:trHeight w:val="61"/>
          <w:tblHeader/>
          <w:jc w:val="center"/>
        </w:trPr>
        <w:tc>
          <w:tcPr>
            <w:tcW w:w="409" w:type="pct"/>
            <w:vMerge/>
            <w:tcBorders>
              <w:left w:val="single" w:sz="4" w:space="0" w:color="FFFFFF" w:themeColor="background1"/>
              <w:bottom w:val="single" w:sz="18" w:space="0" w:color="000000" w:themeColor="text1"/>
              <w:right w:val="single" w:sz="18" w:space="0" w:color="000000" w:themeColor="text1"/>
            </w:tcBorders>
            <w:tcMar>
              <w:top w:w="13" w:type="dxa"/>
              <w:left w:w="13" w:type="dxa"/>
              <w:bottom w:w="0" w:type="dxa"/>
              <w:right w:w="13" w:type="dxa"/>
            </w:tcMar>
            <w:vAlign w:val="center"/>
            <w:hideMark/>
          </w:tcPr>
          <w:p w14:paraId="78A21943"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637"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38A800"/>
            <w:tcMar>
              <w:top w:w="13" w:type="dxa"/>
              <w:left w:w="13" w:type="dxa"/>
              <w:bottom w:w="0" w:type="dxa"/>
              <w:right w:w="13" w:type="dxa"/>
            </w:tcMar>
            <w:vAlign w:val="center"/>
            <w:hideMark/>
          </w:tcPr>
          <w:p w14:paraId="7DB00A8F" w14:textId="77777777" w:rsidR="0088511D" w:rsidRPr="00FC5B6A" w:rsidRDefault="0088511D" w:rsidP="00FE1F12">
            <w:pPr>
              <w:pStyle w:val="Normal1"/>
              <w:keepNext/>
              <w:tabs>
                <w:tab w:val="left" w:pos="8789"/>
              </w:tabs>
              <w:contextualSpacing/>
              <w:jc w:val="center"/>
              <w:rPr>
                <w:rFonts w:asciiTheme="minorHAnsi" w:hAnsiTheme="minorHAnsi" w:cstheme="minorHAnsi"/>
                <w:b/>
                <w:bCs/>
                <w:color w:val="000000" w:themeColor="text1"/>
              </w:rPr>
            </w:pPr>
            <w:r w:rsidRPr="00FC5B6A">
              <w:rPr>
                <w:rFonts w:asciiTheme="minorHAnsi" w:hAnsiTheme="minorHAnsi" w:cstheme="minorHAnsi"/>
                <w:b/>
                <w:bCs/>
                <w:color w:val="000000" w:themeColor="text1"/>
              </w:rPr>
              <w:t>Preservación</w:t>
            </w:r>
          </w:p>
        </w:tc>
        <w:tc>
          <w:tcPr>
            <w:tcW w:w="989"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AAFF00"/>
            <w:tcMar>
              <w:top w:w="13" w:type="dxa"/>
              <w:left w:w="13" w:type="dxa"/>
              <w:bottom w:w="0" w:type="dxa"/>
              <w:right w:w="13" w:type="dxa"/>
            </w:tcMar>
            <w:vAlign w:val="center"/>
            <w:hideMark/>
          </w:tcPr>
          <w:p w14:paraId="65921BD7"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b/>
                <w:bCs/>
                <w:color w:val="000000" w:themeColor="text1"/>
              </w:rPr>
              <w:t>Conservación y Desarrollo Sostenible</w:t>
            </w:r>
          </w:p>
        </w:tc>
        <w:tc>
          <w:tcPr>
            <w:tcW w:w="791"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FFFF00"/>
            <w:tcMar>
              <w:top w:w="13" w:type="dxa"/>
              <w:left w:w="13" w:type="dxa"/>
              <w:bottom w:w="0" w:type="dxa"/>
              <w:right w:w="13" w:type="dxa"/>
            </w:tcMar>
            <w:vAlign w:val="center"/>
            <w:hideMark/>
          </w:tcPr>
          <w:p w14:paraId="3142E5BE" w14:textId="260A3FCD"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b/>
                <w:bCs/>
                <w:color w:val="000000" w:themeColor="text1"/>
              </w:rPr>
              <w:t>Plan Nacional de Restauración</w:t>
            </w:r>
          </w:p>
        </w:tc>
        <w:tc>
          <w:tcPr>
            <w:tcW w:w="857" w:type="pct"/>
            <w:vMerge/>
            <w:tcBorders>
              <w:left w:val="single" w:sz="18" w:space="0" w:color="000000" w:themeColor="text1"/>
              <w:bottom w:val="single" w:sz="18" w:space="0" w:color="000000" w:themeColor="text1"/>
              <w:right w:val="single" w:sz="18" w:space="0" w:color="000000" w:themeColor="text1"/>
            </w:tcBorders>
            <w:shd w:val="clear" w:color="auto" w:fill="D9D9D9"/>
            <w:tcMar>
              <w:top w:w="13" w:type="dxa"/>
              <w:left w:w="13" w:type="dxa"/>
              <w:bottom w:w="0" w:type="dxa"/>
              <w:right w:w="13" w:type="dxa"/>
            </w:tcMar>
            <w:vAlign w:val="center"/>
            <w:hideMark/>
          </w:tcPr>
          <w:p w14:paraId="6E746D4E"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790" w:type="pct"/>
            <w:vMerge/>
            <w:tcBorders>
              <w:left w:val="single" w:sz="18" w:space="0" w:color="000000" w:themeColor="text1"/>
              <w:bottom w:val="single" w:sz="18" w:space="0" w:color="000000" w:themeColor="text1"/>
              <w:right w:val="single" w:sz="18" w:space="0" w:color="000000" w:themeColor="text1"/>
            </w:tcBorders>
            <w:shd w:val="clear" w:color="auto" w:fill="D9D9D9"/>
            <w:tcMar>
              <w:top w:w="13" w:type="dxa"/>
              <w:left w:w="13" w:type="dxa"/>
              <w:bottom w:w="0" w:type="dxa"/>
              <w:right w:w="13" w:type="dxa"/>
            </w:tcMar>
            <w:vAlign w:val="center"/>
            <w:hideMark/>
          </w:tcPr>
          <w:p w14:paraId="03924DE3"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527" w:type="pct"/>
            <w:vMerge/>
            <w:tcBorders>
              <w:left w:val="single" w:sz="18" w:space="0" w:color="000000" w:themeColor="text1"/>
              <w:bottom w:val="single" w:sz="18" w:space="0" w:color="000000" w:themeColor="text1"/>
              <w:right w:val="single" w:sz="4" w:space="0" w:color="FFFFFF" w:themeColor="background1"/>
            </w:tcBorders>
            <w:shd w:val="clear" w:color="auto" w:fill="FFFFFF" w:themeFill="background1"/>
            <w:tcMar>
              <w:top w:w="13" w:type="dxa"/>
              <w:left w:w="13" w:type="dxa"/>
              <w:bottom w:w="0" w:type="dxa"/>
              <w:right w:w="13" w:type="dxa"/>
            </w:tcMar>
            <w:vAlign w:val="center"/>
            <w:hideMark/>
          </w:tcPr>
          <w:p w14:paraId="1EC2BD62"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r>
      <w:tr w:rsidR="0088511D" w:rsidRPr="00FC5B6A" w14:paraId="15AC0617" w14:textId="77777777" w:rsidTr="00D56EE9">
        <w:trPr>
          <w:trHeight w:val="691"/>
          <w:jc w:val="center"/>
        </w:trPr>
        <w:tc>
          <w:tcPr>
            <w:tcW w:w="409" w:type="pct"/>
            <w:vMerge w:val="restart"/>
            <w:tcBorders>
              <w:top w:val="single" w:sz="18" w:space="0" w:color="000000" w:themeColor="text1"/>
              <w:left w:val="single" w:sz="18" w:space="0" w:color="000000" w:themeColor="text1"/>
              <w:right w:val="single" w:sz="18" w:space="0" w:color="000000" w:themeColor="text1"/>
            </w:tcBorders>
            <w:shd w:val="clear" w:color="auto" w:fill="38A800"/>
            <w:tcMar>
              <w:top w:w="13" w:type="dxa"/>
              <w:left w:w="13" w:type="dxa"/>
              <w:bottom w:w="0" w:type="dxa"/>
              <w:right w:w="13" w:type="dxa"/>
            </w:tcMar>
            <w:vAlign w:val="center"/>
            <w:hideMark/>
          </w:tcPr>
          <w:p w14:paraId="73CB10F2"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Alta Oferta de SS.EE</w:t>
            </w:r>
          </w:p>
        </w:tc>
        <w:tc>
          <w:tcPr>
            <w:tcW w:w="637" w:type="pct"/>
            <w:vMerge w:val="restart"/>
            <w:tcBorders>
              <w:top w:val="single" w:sz="18" w:space="0" w:color="000000" w:themeColor="text1"/>
              <w:left w:val="single" w:sz="18" w:space="0" w:color="000000" w:themeColor="text1"/>
            </w:tcBorders>
            <w:shd w:val="clear" w:color="auto" w:fill="38A800"/>
            <w:tcMar>
              <w:top w:w="13" w:type="dxa"/>
              <w:left w:w="13" w:type="dxa"/>
              <w:bottom w:w="0" w:type="dxa"/>
              <w:right w:w="13" w:type="dxa"/>
            </w:tcMar>
            <w:vAlign w:val="center"/>
            <w:hideMark/>
          </w:tcPr>
          <w:p w14:paraId="5055F9F7"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Preservación</w:t>
            </w:r>
          </w:p>
        </w:tc>
        <w:tc>
          <w:tcPr>
            <w:tcW w:w="989" w:type="pct"/>
            <w:tcBorders>
              <w:top w:val="single" w:sz="18" w:space="0" w:color="000000" w:themeColor="text1"/>
            </w:tcBorders>
            <w:shd w:val="clear" w:color="auto" w:fill="38A800"/>
            <w:tcMar>
              <w:top w:w="13" w:type="dxa"/>
              <w:left w:w="13" w:type="dxa"/>
              <w:bottom w:w="0" w:type="dxa"/>
              <w:right w:w="13" w:type="dxa"/>
            </w:tcMar>
            <w:vAlign w:val="center"/>
            <w:hideMark/>
          </w:tcPr>
          <w:p w14:paraId="0D6361DC"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Preservación</w:t>
            </w:r>
          </w:p>
        </w:tc>
        <w:tc>
          <w:tcPr>
            <w:tcW w:w="791" w:type="pct"/>
            <w:vMerge w:val="restart"/>
            <w:tcBorders>
              <w:top w:val="single" w:sz="18" w:space="0" w:color="000000" w:themeColor="text1"/>
              <w:right w:val="single" w:sz="18" w:space="0" w:color="000000" w:themeColor="text1"/>
            </w:tcBorders>
            <w:shd w:val="clear" w:color="auto" w:fill="00FFC5"/>
            <w:tcMar>
              <w:top w:w="13" w:type="dxa"/>
              <w:left w:w="13" w:type="dxa"/>
              <w:bottom w:w="0" w:type="dxa"/>
              <w:right w:w="13" w:type="dxa"/>
            </w:tcMar>
            <w:vAlign w:val="center"/>
            <w:hideMark/>
          </w:tcPr>
          <w:p w14:paraId="38ADE254"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Restauración</w:t>
            </w:r>
          </w:p>
        </w:tc>
        <w:tc>
          <w:tcPr>
            <w:tcW w:w="857" w:type="pct"/>
            <w:tcBorders>
              <w:top w:val="single" w:sz="18" w:space="0" w:color="000000" w:themeColor="text1"/>
              <w:left w:val="single" w:sz="18" w:space="0" w:color="000000" w:themeColor="text1"/>
              <w:right w:val="single" w:sz="18" w:space="0" w:color="000000" w:themeColor="text1"/>
            </w:tcBorders>
            <w:shd w:val="clear" w:color="auto" w:fill="C500FF"/>
            <w:tcMar>
              <w:top w:w="13" w:type="dxa"/>
              <w:left w:w="13" w:type="dxa"/>
              <w:bottom w:w="0" w:type="dxa"/>
              <w:right w:w="13" w:type="dxa"/>
            </w:tcMar>
            <w:vAlign w:val="center"/>
            <w:hideMark/>
          </w:tcPr>
          <w:p w14:paraId="01D08D35"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Protección por Alta Oferta de SSEE</w:t>
            </w:r>
          </w:p>
        </w:tc>
        <w:tc>
          <w:tcPr>
            <w:tcW w:w="790" w:type="pct"/>
            <w:vMerge w:val="restart"/>
            <w:tcBorders>
              <w:top w:val="single" w:sz="18" w:space="0" w:color="000000" w:themeColor="text1"/>
              <w:left w:val="single" w:sz="18" w:space="0" w:color="000000" w:themeColor="text1"/>
              <w:right w:val="single" w:sz="18" w:space="0" w:color="000000" w:themeColor="text1"/>
            </w:tcBorders>
            <w:shd w:val="clear" w:color="auto" w:fill="B6B947"/>
            <w:tcMar>
              <w:top w:w="13" w:type="dxa"/>
              <w:left w:w="13" w:type="dxa"/>
              <w:bottom w:w="0" w:type="dxa"/>
              <w:right w:w="13" w:type="dxa"/>
            </w:tcMar>
            <w:vAlign w:val="center"/>
            <w:hideMark/>
          </w:tcPr>
          <w:p w14:paraId="38C5D1D1"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productivo con protección</w:t>
            </w:r>
          </w:p>
        </w:tc>
        <w:tc>
          <w:tcPr>
            <w:tcW w:w="527" w:type="pct"/>
            <w:tcBorders>
              <w:top w:val="single" w:sz="18" w:space="0" w:color="000000" w:themeColor="text1"/>
              <w:left w:val="single" w:sz="18" w:space="0" w:color="000000" w:themeColor="text1"/>
              <w:right w:val="single" w:sz="18" w:space="0" w:color="000000" w:themeColor="text1"/>
            </w:tcBorders>
            <w:shd w:val="clear" w:color="auto" w:fill="519031"/>
            <w:tcMar>
              <w:top w:w="13" w:type="dxa"/>
              <w:left w:w="13" w:type="dxa"/>
              <w:bottom w:w="0" w:type="dxa"/>
              <w:right w:w="13" w:type="dxa"/>
            </w:tcMar>
            <w:vAlign w:val="center"/>
            <w:hideMark/>
          </w:tcPr>
          <w:p w14:paraId="180F152C"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Baja DSA</w:t>
            </w:r>
          </w:p>
        </w:tc>
      </w:tr>
      <w:tr w:rsidR="0088511D" w:rsidRPr="00FC5B6A" w14:paraId="29CF097F" w14:textId="77777777" w:rsidTr="00D56EE9">
        <w:trPr>
          <w:trHeight w:val="351"/>
          <w:jc w:val="center"/>
        </w:trPr>
        <w:tc>
          <w:tcPr>
            <w:tcW w:w="409" w:type="pct"/>
            <w:vMerge/>
            <w:tcBorders>
              <w:left w:val="single" w:sz="18" w:space="0" w:color="000000" w:themeColor="text1"/>
              <w:right w:val="single" w:sz="18" w:space="0" w:color="000000" w:themeColor="text1"/>
            </w:tcBorders>
            <w:vAlign w:val="center"/>
            <w:hideMark/>
          </w:tcPr>
          <w:p w14:paraId="03725050"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637" w:type="pct"/>
            <w:vMerge/>
            <w:tcBorders>
              <w:left w:val="single" w:sz="18" w:space="0" w:color="000000" w:themeColor="text1"/>
            </w:tcBorders>
            <w:vAlign w:val="center"/>
            <w:hideMark/>
          </w:tcPr>
          <w:p w14:paraId="537FCA21"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989" w:type="pct"/>
            <w:shd w:val="clear" w:color="auto" w:fill="00FFC5"/>
            <w:tcMar>
              <w:top w:w="13" w:type="dxa"/>
              <w:left w:w="13" w:type="dxa"/>
              <w:bottom w:w="0" w:type="dxa"/>
              <w:right w:w="13" w:type="dxa"/>
            </w:tcMar>
            <w:vAlign w:val="center"/>
            <w:hideMark/>
          </w:tcPr>
          <w:p w14:paraId="687A2F40"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Restauración</w:t>
            </w:r>
          </w:p>
        </w:tc>
        <w:tc>
          <w:tcPr>
            <w:tcW w:w="791" w:type="pct"/>
            <w:vMerge/>
            <w:tcBorders>
              <w:right w:val="single" w:sz="18" w:space="0" w:color="000000" w:themeColor="text1"/>
            </w:tcBorders>
            <w:vAlign w:val="center"/>
            <w:hideMark/>
          </w:tcPr>
          <w:p w14:paraId="32738D3B"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857" w:type="pct"/>
            <w:vMerge w:val="restart"/>
            <w:tcBorders>
              <w:left w:val="single" w:sz="18" w:space="0" w:color="000000" w:themeColor="text1"/>
              <w:right w:val="single" w:sz="18" w:space="0" w:color="000000" w:themeColor="text1"/>
            </w:tcBorders>
            <w:shd w:val="clear" w:color="auto" w:fill="AAFF00"/>
            <w:tcMar>
              <w:top w:w="13" w:type="dxa"/>
              <w:left w:w="13" w:type="dxa"/>
              <w:bottom w:w="0" w:type="dxa"/>
              <w:right w:w="13" w:type="dxa"/>
            </w:tcMar>
            <w:vAlign w:val="center"/>
            <w:hideMark/>
          </w:tcPr>
          <w:p w14:paraId="15FDE841"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Protección con uso sostenible</w:t>
            </w:r>
          </w:p>
        </w:tc>
        <w:tc>
          <w:tcPr>
            <w:tcW w:w="790" w:type="pct"/>
            <w:vMerge/>
            <w:tcBorders>
              <w:left w:val="single" w:sz="18" w:space="0" w:color="000000" w:themeColor="text1"/>
              <w:right w:val="single" w:sz="18" w:space="0" w:color="000000" w:themeColor="text1"/>
            </w:tcBorders>
            <w:shd w:val="clear" w:color="auto" w:fill="B6B947"/>
            <w:tcMar>
              <w:top w:w="13" w:type="dxa"/>
              <w:left w:w="13" w:type="dxa"/>
              <w:bottom w:w="0" w:type="dxa"/>
              <w:right w:w="13" w:type="dxa"/>
            </w:tcMar>
            <w:vAlign w:val="center"/>
            <w:hideMark/>
          </w:tcPr>
          <w:p w14:paraId="48C3B498"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527" w:type="pct"/>
            <w:tcBorders>
              <w:left w:val="single" w:sz="18" w:space="0" w:color="000000" w:themeColor="text1"/>
              <w:right w:val="single" w:sz="18" w:space="0" w:color="000000" w:themeColor="text1"/>
            </w:tcBorders>
            <w:shd w:val="clear" w:color="auto" w:fill="FFFF00"/>
            <w:tcMar>
              <w:top w:w="13" w:type="dxa"/>
              <w:left w:w="13" w:type="dxa"/>
              <w:bottom w:w="0" w:type="dxa"/>
              <w:right w:w="13" w:type="dxa"/>
            </w:tcMar>
            <w:vAlign w:val="center"/>
            <w:hideMark/>
          </w:tcPr>
          <w:p w14:paraId="16F400CA"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Media DSA</w:t>
            </w:r>
          </w:p>
        </w:tc>
      </w:tr>
      <w:tr w:rsidR="0088511D" w:rsidRPr="00FC5B6A" w14:paraId="243A2DE7" w14:textId="77777777" w:rsidTr="00D56EE9">
        <w:trPr>
          <w:trHeight w:val="1032"/>
          <w:jc w:val="center"/>
        </w:trPr>
        <w:tc>
          <w:tcPr>
            <w:tcW w:w="409" w:type="pct"/>
            <w:vMerge/>
            <w:tcBorders>
              <w:left w:val="single" w:sz="18" w:space="0" w:color="000000" w:themeColor="text1"/>
              <w:bottom w:val="single" w:sz="18" w:space="0" w:color="000000" w:themeColor="text1"/>
              <w:right w:val="single" w:sz="18" w:space="0" w:color="000000" w:themeColor="text1"/>
            </w:tcBorders>
            <w:vAlign w:val="center"/>
            <w:hideMark/>
          </w:tcPr>
          <w:p w14:paraId="06AC04E3"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637" w:type="pct"/>
            <w:vMerge/>
            <w:tcBorders>
              <w:left w:val="single" w:sz="18" w:space="0" w:color="000000" w:themeColor="text1"/>
              <w:bottom w:val="single" w:sz="18" w:space="0" w:color="000000" w:themeColor="text1"/>
            </w:tcBorders>
            <w:vAlign w:val="center"/>
            <w:hideMark/>
          </w:tcPr>
          <w:p w14:paraId="10443157"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989" w:type="pct"/>
            <w:tcBorders>
              <w:bottom w:val="single" w:sz="18" w:space="0" w:color="000000" w:themeColor="text1"/>
            </w:tcBorders>
            <w:shd w:val="clear" w:color="auto" w:fill="FF7F7F"/>
            <w:tcMar>
              <w:top w:w="13" w:type="dxa"/>
              <w:left w:w="13" w:type="dxa"/>
              <w:bottom w:w="0" w:type="dxa"/>
              <w:right w:w="13" w:type="dxa"/>
            </w:tcMar>
            <w:vAlign w:val="center"/>
            <w:hideMark/>
          </w:tcPr>
          <w:p w14:paraId="232584EA"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sostenible para el aprovechamiento de la biodiversidad</w:t>
            </w:r>
          </w:p>
        </w:tc>
        <w:tc>
          <w:tcPr>
            <w:tcW w:w="791" w:type="pct"/>
            <w:vMerge/>
            <w:tcBorders>
              <w:bottom w:val="single" w:sz="18" w:space="0" w:color="000000" w:themeColor="text1"/>
              <w:right w:val="single" w:sz="18" w:space="0" w:color="000000" w:themeColor="text1"/>
            </w:tcBorders>
            <w:vAlign w:val="center"/>
            <w:hideMark/>
          </w:tcPr>
          <w:p w14:paraId="7168C239"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857" w:type="pct"/>
            <w:vMerge/>
            <w:tcBorders>
              <w:left w:val="single" w:sz="18" w:space="0" w:color="000000" w:themeColor="text1"/>
              <w:bottom w:val="single" w:sz="18" w:space="0" w:color="000000" w:themeColor="text1"/>
              <w:right w:val="single" w:sz="18" w:space="0" w:color="000000" w:themeColor="text1"/>
            </w:tcBorders>
            <w:vAlign w:val="center"/>
            <w:hideMark/>
          </w:tcPr>
          <w:p w14:paraId="5AEFEDE8"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790" w:type="pct"/>
            <w:vMerge/>
            <w:tcBorders>
              <w:left w:val="single" w:sz="18" w:space="0" w:color="000000" w:themeColor="text1"/>
              <w:bottom w:val="single" w:sz="18" w:space="0" w:color="000000" w:themeColor="text1"/>
              <w:right w:val="single" w:sz="18" w:space="0" w:color="000000" w:themeColor="text1"/>
            </w:tcBorders>
            <w:vAlign w:val="center"/>
            <w:hideMark/>
          </w:tcPr>
          <w:p w14:paraId="4186B805"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527" w:type="pct"/>
            <w:tcBorders>
              <w:left w:val="single" w:sz="18" w:space="0" w:color="000000" w:themeColor="text1"/>
              <w:bottom w:val="single" w:sz="18" w:space="0" w:color="000000" w:themeColor="text1"/>
              <w:right w:val="single" w:sz="18" w:space="0" w:color="000000" w:themeColor="text1"/>
            </w:tcBorders>
            <w:shd w:val="clear" w:color="auto" w:fill="FFC000"/>
            <w:tcMar>
              <w:top w:w="13" w:type="dxa"/>
              <w:left w:w="13" w:type="dxa"/>
              <w:bottom w:w="0" w:type="dxa"/>
              <w:right w:w="13" w:type="dxa"/>
            </w:tcMar>
            <w:vAlign w:val="center"/>
            <w:hideMark/>
          </w:tcPr>
          <w:p w14:paraId="684E7061"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Alta DSA</w:t>
            </w:r>
          </w:p>
        </w:tc>
      </w:tr>
      <w:tr w:rsidR="0088511D" w:rsidRPr="00FC5B6A" w14:paraId="63C8AE5C" w14:textId="77777777" w:rsidTr="00D56EE9">
        <w:trPr>
          <w:trHeight w:val="1032"/>
          <w:jc w:val="center"/>
        </w:trPr>
        <w:tc>
          <w:tcPr>
            <w:tcW w:w="409" w:type="pct"/>
            <w:vMerge w:val="restart"/>
            <w:tcBorders>
              <w:top w:val="single" w:sz="18" w:space="0" w:color="000000" w:themeColor="text1"/>
              <w:left w:val="single" w:sz="18" w:space="0" w:color="000000" w:themeColor="text1"/>
              <w:right w:val="single" w:sz="18" w:space="0" w:color="000000" w:themeColor="text1"/>
            </w:tcBorders>
            <w:shd w:val="clear" w:color="auto" w:fill="67B83E"/>
            <w:tcMar>
              <w:top w:w="13" w:type="dxa"/>
              <w:left w:w="13" w:type="dxa"/>
              <w:bottom w:w="0" w:type="dxa"/>
              <w:right w:w="13" w:type="dxa"/>
            </w:tcMar>
            <w:vAlign w:val="center"/>
            <w:hideMark/>
          </w:tcPr>
          <w:p w14:paraId="66FFC9A3"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Media Oferta de SS.EE</w:t>
            </w:r>
          </w:p>
        </w:tc>
        <w:tc>
          <w:tcPr>
            <w:tcW w:w="637" w:type="pct"/>
            <w:tcBorders>
              <w:top w:val="single" w:sz="18" w:space="0" w:color="000000" w:themeColor="text1"/>
              <w:left w:val="single" w:sz="18" w:space="0" w:color="000000" w:themeColor="text1"/>
            </w:tcBorders>
            <w:shd w:val="clear" w:color="auto" w:fill="38A800"/>
            <w:tcMar>
              <w:top w:w="13" w:type="dxa"/>
              <w:left w:w="13" w:type="dxa"/>
              <w:bottom w:w="0" w:type="dxa"/>
              <w:right w:w="13" w:type="dxa"/>
            </w:tcMar>
            <w:vAlign w:val="center"/>
            <w:hideMark/>
          </w:tcPr>
          <w:p w14:paraId="7DE7606E"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Preservación</w:t>
            </w:r>
          </w:p>
        </w:tc>
        <w:tc>
          <w:tcPr>
            <w:tcW w:w="989" w:type="pct"/>
            <w:vMerge w:val="restart"/>
            <w:tcBorders>
              <w:top w:val="single" w:sz="18" w:space="0" w:color="000000" w:themeColor="text1"/>
            </w:tcBorders>
            <w:shd w:val="clear" w:color="auto" w:fill="FF7F7F"/>
            <w:tcMar>
              <w:top w:w="13" w:type="dxa"/>
              <w:left w:w="13" w:type="dxa"/>
              <w:bottom w:w="0" w:type="dxa"/>
              <w:right w:w="13" w:type="dxa"/>
            </w:tcMar>
            <w:vAlign w:val="center"/>
            <w:hideMark/>
          </w:tcPr>
          <w:p w14:paraId="306B6395"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sostenible para el aprovechamiento de la biodiversidad</w:t>
            </w:r>
          </w:p>
        </w:tc>
        <w:tc>
          <w:tcPr>
            <w:tcW w:w="791" w:type="pct"/>
            <w:tcBorders>
              <w:top w:val="single" w:sz="18" w:space="0" w:color="000000" w:themeColor="text1"/>
              <w:right w:val="single" w:sz="18" w:space="0" w:color="000000" w:themeColor="text1"/>
            </w:tcBorders>
            <w:shd w:val="clear" w:color="auto" w:fill="00FFC5"/>
            <w:tcMar>
              <w:top w:w="13" w:type="dxa"/>
              <w:left w:w="13" w:type="dxa"/>
              <w:bottom w:w="0" w:type="dxa"/>
              <w:right w:w="13" w:type="dxa"/>
            </w:tcMar>
            <w:vAlign w:val="center"/>
            <w:hideMark/>
          </w:tcPr>
          <w:p w14:paraId="22D81C47"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Restauración</w:t>
            </w:r>
          </w:p>
        </w:tc>
        <w:tc>
          <w:tcPr>
            <w:tcW w:w="857" w:type="pct"/>
            <w:tcBorders>
              <w:top w:val="single" w:sz="18" w:space="0" w:color="000000" w:themeColor="text1"/>
              <w:left w:val="single" w:sz="18" w:space="0" w:color="000000" w:themeColor="text1"/>
              <w:right w:val="single" w:sz="18" w:space="0" w:color="000000" w:themeColor="text1"/>
            </w:tcBorders>
            <w:shd w:val="clear" w:color="auto" w:fill="AAFF00"/>
            <w:tcMar>
              <w:top w:w="13" w:type="dxa"/>
              <w:left w:w="13" w:type="dxa"/>
              <w:bottom w:w="0" w:type="dxa"/>
              <w:right w:w="13" w:type="dxa"/>
            </w:tcMar>
            <w:vAlign w:val="center"/>
            <w:hideMark/>
          </w:tcPr>
          <w:p w14:paraId="57C19EC4"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Protección con uso sostenible</w:t>
            </w:r>
          </w:p>
        </w:tc>
        <w:tc>
          <w:tcPr>
            <w:tcW w:w="790" w:type="pct"/>
            <w:tcBorders>
              <w:top w:val="single" w:sz="18" w:space="0" w:color="000000" w:themeColor="text1"/>
              <w:left w:val="single" w:sz="18" w:space="0" w:color="000000" w:themeColor="text1"/>
              <w:right w:val="single" w:sz="18" w:space="0" w:color="000000" w:themeColor="text1"/>
            </w:tcBorders>
            <w:shd w:val="clear" w:color="auto" w:fill="B6B947"/>
            <w:tcMar>
              <w:top w:w="13" w:type="dxa"/>
              <w:left w:w="13" w:type="dxa"/>
              <w:bottom w:w="0" w:type="dxa"/>
              <w:right w:w="13" w:type="dxa"/>
            </w:tcMar>
            <w:vAlign w:val="center"/>
            <w:hideMark/>
          </w:tcPr>
          <w:p w14:paraId="39F4B047"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productivo con protección</w:t>
            </w:r>
          </w:p>
        </w:tc>
        <w:tc>
          <w:tcPr>
            <w:tcW w:w="527" w:type="pct"/>
            <w:tcBorders>
              <w:top w:val="single" w:sz="18" w:space="0" w:color="000000" w:themeColor="text1"/>
              <w:left w:val="single" w:sz="18" w:space="0" w:color="000000" w:themeColor="text1"/>
              <w:right w:val="single" w:sz="18" w:space="0" w:color="000000" w:themeColor="text1"/>
            </w:tcBorders>
            <w:shd w:val="clear" w:color="auto" w:fill="519031"/>
            <w:tcMar>
              <w:top w:w="13" w:type="dxa"/>
              <w:left w:w="13" w:type="dxa"/>
              <w:bottom w:w="0" w:type="dxa"/>
              <w:right w:w="13" w:type="dxa"/>
            </w:tcMar>
            <w:vAlign w:val="center"/>
            <w:hideMark/>
          </w:tcPr>
          <w:p w14:paraId="7B1B5CEB"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Baja DSA</w:t>
            </w:r>
          </w:p>
        </w:tc>
      </w:tr>
      <w:tr w:rsidR="0088511D" w:rsidRPr="00FC5B6A" w14:paraId="23A99BB0" w14:textId="77777777" w:rsidTr="00D56EE9">
        <w:trPr>
          <w:trHeight w:val="1032"/>
          <w:jc w:val="center"/>
        </w:trPr>
        <w:tc>
          <w:tcPr>
            <w:tcW w:w="409" w:type="pct"/>
            <w:vMerge/>
            <w:tcBorders>
              <w:left w:val="single" w:sz="18" w:space="0" w:color="000000" w:themeColor="text1"/>
              <w:right w:val="single" w:sz="18" w:space="0" w:color="000000" w:themeColor="text1"/>
            </w:tcBorders>
            <w:vAlign w:val="center"/>
            <w:hideMark/>
          </w:tcPr>
          <w:p w14:paraId="24D5FD87"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637" w:type="pct"/>
            <w:vMerge w:val="restart"/>
            <w:tcBorders>
              <w:left w:val="single" w:sz="18" w:space="0" w:color="000000" w:themeColor="text1"/>
            </w:tcBorders>
            <w:shd w:val="clear" w:color="auto" w:fill="00FFC5"/>
            <w:tcMar>
              <w:top w:w="13" w:type="dxa"/>
              <w:left w:w="13" w:type="dxa"/>
              <w:bottom w:w="0" w:type="dxa"/>
              <w:right w:w="13" w:type="dxa"/>
            </w:tcMar>
            <w:vAlign w:val="center"/>
            <w:hideMark/>
          </w:tcPr>
          <w:p w14:paraId="406BF26B"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Restauración</w:t>
            </w:r>
          </w:p>
        </w:tc>
        <w:tc>
          <w:tcPr>
            <w:tcW w:w="989" w:type="pct"/>
            <w:vMerge/>
            <w:shd w:val="clear" w:color="auto" w:fill="FF7F7F"/>
            <w:tcMar>
              <w:top w:w="13" w:type="dxa"/>
              <w:left w:w="13" w:type="dxa"/>
              <w:bottom w:w="0" w:type="dxa"/>
              <w:right w:w="13" w:type="dxa"/>
            </w:tcMar>
            <w:vAlign w:val="center"/>
            <w:hideMark/>
          </w:tcPr>
          <w:p w14:paraId="083FCC90"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791" w:type="pct"/>
            <w:vMerge w:val="restart"/>
            <w:tcBorders>
              <w:right w:val="single" w:sz="18" w:space="0" w:color="000000" w:themeColor="text1"/>
            </w:tcBorders>
            <w:shd w:val="clear" w:color="auto" w:fill="FF7F7F"/>
            <w:tcMar>
              <w:top w:w="13" w:type="dxa"/>
              <w:left w:w="13" w:type="dxa"/>
              <w:bottom w:w="0" w:type="dxa"/>
              <w:right w:w="13" w:type="dxa"/>
            </w:tcMar>
            <w:vAlign w:val="center"/>
            <w:hideMark/>
          </w:tcPr>
          <w:p w14:paraId="1297740D"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sostenible para el aprovecha miento de la biodiversidad</w:t>
            </w:r>
          </w:p>
        </w:tc>
        <w:tc>
          <w:tcPr>
            <w:tcW w:w="857" w:type="pct"/>
            <w:tcBorders>
              <w:left w:val="single" w:sz="18" w:space="0" w:color="000000" w:themeColor="text1"/>
              <w:right w:val="single" w:sz="18" w:space="0" w:color="000000" w:themeColor="text1"/>
            </w:tcBorders>
            <w:shd w:val="clear" w:color="auto" w:fill="FFFF00"/>
            <w:tcMar>
              <w:top w:w="13" w:type="dxa"/>
              <w:left w:w="13" w:type="dxa"/>
              <w:bottom w:w="0" w:type="dxa"/>
              <w:right w:w="13" w:type="dxa"/>
            </w:tcMar>
            <w:vAlign w:val="center"/>
            <w:hideMark/>
          </w:tcPr>
          <w:p w14:paraId="574BD1FD"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productivo con reconversión</w:t>
            </w:r>
          </w:p>
        </w:tc>
        <w:tc>
          <w:tcPr>
            <w:tcW w:w="790" w:type="pct"/>
            <w:tcBorders>
              <w:left w:val="single" w:sz="18" w:space="0" w:color="000000" w:themeColor="text1"/>
              <w:right w:val="single" w:sz="18" w:space="0" w:color="000000" w:themeColor="text1"/>
            </w:tcBorders>
            <w:shd w:val="clear" w:color="auto" w:fill="FFFF00"/>
            <w:tcMar>
              <w:top w:w="13" w:type="dxa"/>
              <w:left w:w="13" w:type="dxa"/>
              <w:bottom w:w="0" w:type="dxa"/>
              <w:right w:w="13" w:type="dxa"/>
            </w:tcMar>
            <w:vAlign w:val="center"/>
            <w:hideMark/>
          </w:tcPr>
          <w:p w14:paraId="12C3CAC1"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productivo con reconversión</w:t>
            </w:r>
          </w:p>
        </w:tc>
        <w:tc>
          <w:tcPr>
            <w:tcW w:w="527" w:type="pct"/>
            <w:tcBorders>
              <w:left w:val="single" w:sz="18" w:space="0" w:color="000000" w:themeColor="text1"/>
              <w:right w:val="single" w:sz="18" w:space="0" w:color="000000" w:themeColor="text1"/>
            </w:tcBorders>
            <w:shd w:val="clear" w:color="auto" w:fill="FFFF00"/>
            <w:tcMar>
              <w:top w:w="13" w:type="dxa"/>
              <w:left w:w="13" w:type="dxa"/>
              <w:bottom w:w="0" w:type="dxa"/>
              <w:right w:w="13" w:type="dxa"/>
            </w:tcMar>
            <w:vAlign w:val="center"/>
            <w:hideMark/>
          </w:tcPr>
          <w:p w14:paraId="7C45FA8B"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Media DSA</w:t>
            </w:r>
          </w:p>
        </w:tc>
      </w:tr>
      <w:tr w:rsidR="0088511D" w:rsidRPr="00FC5B6A" w14:paraId="2446AEB8" w14:textId="77777777" w:rsidTr="00D56EE9">
        <w:trPr>
          <w:trHeight w:val="691"/>
          <w:jc w:val="center"/>
        </w:trPr>
        <w:tc>
          <w:tcPr>
            <w:tcW w:w="409" w:type="pct"/>
            <w:vMerge/>
            <w:tcBorders>
              <w:left w:val="single" w:sz="18" w:space="0" w:color="000000" w:themeColor="text1"/>
              <w:bottom w:val="single" w:sz="18" w:space="0" w:color="000000" w:themeColor="text1"/>
              <w:right w:val="single" w:sz="18" w:space="0" w:color="000000" w:themeColor="text1"/>
            </w:tcBorders>
            <w:vAlign w:val="center"/>
            <w:hideMark/>
          </w:tcPr>
          <w:p w14:paraId="3CC665B6"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637" w:type="pct"/>
            <w:vMerge/>
            <w:tcBorders>
              <w:left w:val="single" w:sz="18" w:space="0" w:color="000000" w:themeColor="text1"/>
              <w:bottom w:val="single" w:sz="18" w:space="0" w:color="000000" w:themeColor="text1"/>
            </w:tcBorders>
            <w:vAlign w:val="center"/>
            <w:hideMark/>
          </w:tcPr>
          <w:p w14:paraId="2238C87E"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989" w:type="pct"/>
            <w:tcBorders>
              <w:bottom w:val="single" w:sz="18" w:space="0" w:color="000000" w:themeColor="text1"/>
            </w:tcBorders>
            <w:shd w:val="clear" w:color="auto" w:fill="FFAA00"/>
            <w:tcMar>
              <w:top w:w="13" w:type="dxa"/>
              <w:left w:w="13" w:type="dxa"/>
              <w:bottom w:w="0" w:type="dxa"/>
              <w:right w:w="13" w:type="dxa"/>
            </w:tcMar>
            <w:vAlign w:val="center"/>
            <w:hideMark/>
          </w:tcPr>
          <w:p w14:paraId="77704749"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sostenible para el desarrollo</w:t>
            </w:r>
          </w:p>
        </w:tc>
        <w:tc>
          <w:tcPr>
            <w:tcW w:w="791" w:type="pct"/>
            <w:vMerge/>
            <w:tcBorders>
              <w:bottom w:val="single" w:sz="18" w:space="0" w:color="000000" w:themeColor="text1"/>
              <w:right w:val="single" w:sz="18" w:space="0" w:color="000000" w:themeColor="text1"/>
            </w:tcBorders>
            <w:vAlign w:val="center"/>
            <w:hideMark/>
          </w:tcPr>
          <w:p w14:paraId="296BC098"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857" w:type="pct"/>
            <w:tcBorders>
              <w:left w:val="single" w:sz="18" w:space="0" w:color="000000" w:themeColor="text1"/>
              <w:bottom w:val="single" w:sz="18" w:space="0" w:color="000000" w:themeColor="text1"/>
              <w:right w:val="single" w:sz="18" w:space="0" w:color="000000" w:themeColor="text1"/>
            </w:tcBorders>
            <w:shd w:val="clear" w:color="auto" w:fill="A87000"/>
            <w:tcMar>
              <w:top w:w="13" w:type="dxa"/>
              <w:left w:w="13" w:type="dxa"/>
              <w:bottom w:w="0" w:type="dxa"/>
              <w:right w:w="13" w:type="dxa"/>
            </w:tcMar>
            <w:vAlign w:val="center"/>
            <w:hideMark/>
          </w:tcPr>
          <w:p w14:paraId="25C8517A"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productivo</w:t>
            </w:r>
          </w:p>
        </w:tc>
        <w:tc>
          <w:tcPr>
            <w:tcW w:w="790" w:type="pct"/>
            <w:tcBorders>
              <w:left w:val="single" w:sz="18" w:space="0" w:color="000000" w:themeColor="text1"/>
              <w:bottom w:val="single" w:sz="18" w:space="0" w:color="000000" w:themeColor="text1"/>
              <w:right w:val="single" w:sz="18" w:space="0" w:color="000000" w:themeColor="text1"/>
            </w:tcBorders>
            <w:shd w:val="clear" w:color="auto" w:fill="A87000"/>
            <w:tcMar>
              <w:top w:w="13" w:type="dxa"/>
              <w:left w:w="13" w:type="dxa"/>
              <w:bottom w:w="0" w:type="dxa"/>
              <w:right w:w="13" w:type="dxa"/>
            </w:tcMar>
            <w:vAlign w:val="center"/>
            <w:hideMark/>
          </w:tcPr>
          <w:p w14:paraId="10EA6906"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productivo</w:t>
            </w:r>
          </w:p>
        </w:tc>
        <w:tc>
          <w:tcPr>
            <w:tcW w:w="527" w:type="pct"/>
            <w:tcBorders>
              <w:left w:val="single" w:sz="18" w:space="0" w:color="000000" w:themeColor="text1"/>
              <w:bottom w:val="single" w:sz="18" w:space="0" w:color="000000" w:themeColor="text1"/>
              <w:right w:val="single" w:sz="18" w:space="0" w:color="000000" w:themeColor="text1"/>
            </w:tcBorders>
            <w:shd w:val="clear" w:color="auto" w:fill="FFC000"/>
            <w:tcMar>
              <w:top w:w="13" w:type="dxa"/>
              <w:left w:w="13" w:type="dxa"/>
              <w:bottom w:w="0" w:type="dxa"/>
              <w:right w:w="13" w:type="dxa"/>
            </w:tcMar>
            <w:vAlign w:val="center"/>
            <w:hideMark/>
          </w:tcPr>
          <w:p w14:paraId="0BCBCB66"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Alta DSA</w:t>
            </w:r>
          </w:p>
        </w:tc>
      </w:tr>
      <w:tr w:rsidR="0088511D" w:rsidRPr="00FC5B6A" w14:paraId="579CCCE5" w14:textId="77777777" w:rsidTr="00D56EE9">
        <w:trPr>
          <w:trHeight w:val="1032"/>
          <w:jc w:val="center"/>
        </w:trPr>
        <w:tc>
          <w:tcPr>
            <w:tcW w:w="409" w:type="pct"/>
            <w:vMerge w:val="restart"/>
            <w:tcBorders>
              <w:top w:val="single" w:sz="18" w:space="0" w:color="000000" w:themeColor="text1"/>
              <w:left w:val="single" w:sz="18" w:space="0" w:color="000000" w:themeColor="text1"/>
              <w:right w:val="single" w:sz="18" w:space="0" w:color="000000" w:themeColor="text1"/>
            </w:tcBorders>
            <w:shd w:val="clear" w:color="auto" w:fill="9FD684"/>
            <w:tcMar>
              <w:top w:w="13" w:type="dxa"/>
              <w:left w:w="13" w:type="dxa"/>
              <w:bottom w:w="0" w:type="dxa"/>
              <w:right w:w="13" w:type="dxa"/>
            </w:tcMar>
            <w:vAlign w:val="center"/>
            <w:hideMark/>
          </w:tcPr>
          <w:p w14:paraId="46A99831"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Baja Oferta de SS.EE</w:t>
            </w:r>
          </w:p>
        </w:tc>
        <w:tc>
          <w:tcPr>
            <w:tcW w:w="637" w:type="pct"/>
            <w:vMerge w:val="restart"/>
            <w:tcBorders>
              <w:top w:val="single" w:sz="18" w:space="0" w:color="000000" w:themeColor="text1"/>
              <w:left w:val="single" w:sz="18" w:space="0" w:color="000000" w:themeColor="text1"/>
            </w:tcBorders>
            <w:shd w:val="clear" w:color="auto" w:fill="00FFC5"/>
            <w:tcMar>
              <w:top w:w="13" w:type="dxa"/>
              <w:left w:w="13" w:type="dxa"/>
              <w:bottom w:w="0" w:type="dxa"/>
              <w:right w:w="13" w:type="dxa"/>
            </w:tcMar>
            <w:vAlign w:val="center"/>
            <w:hideMark/>
          </w:tcPr>
          <w:p w14:paraId="73407759"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Restauración</w:t>
            </w:r>
          </w:p>
        </w:tc>
        <w:tc>
          <w:tcPr>
            <w:tcW w:w="989" w:type="pct"/>
            <w:tcBorders>
              <w:top w:val="single" w:sz="18" w:space="0" w:color="000000" w:themeColor="text1"/>
            </w:tcBorders>
            <w:shd w:val="clear" w:color="auto" w:fill="FF7F7F"/>
            <w:tcMar>
              <w:top w:w="13" w:type="dxa"/>
              <w:left w:w="13" w:type="dxa"/>
              <w:bottom w:w="0" w:type="dxa"/>
              <w:right w:w="13" w:type="dxa"/>
            </w:tcMar>
            <w:vAlign w:val="center"/>
            <w:hideMark/>
          </w:tcPr>
          <w:p w14:paraId="0B2F9296"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sostenible para el aprovechamiento de la biodiversidad</w:t>
            </w:r>
          </w:p>
        </w:tc>
        <w:tc>
          <w:tcPr>
            <w:tcW w:w="791" w:type="pct"/>
            <w:vMerge w:val="restart"/>
            <w:tcBorders>
              <w:top w:val="single" w:sz="18" w:space="0" w:color="000000" w:themeColor="text1"/>
              <w:right w:val="single" w:sz="18" w:space="0" w:color="000000" w:themeColor="text1"/>
            </w:tcBorders>
            <w:shd w:val="clear" w:color="auto" w:fill="FF7F7F"/>
            <w:tcMar>
              <w:top w:w="13" w:type="dxa"/>
              <w:left w:w="13" w:type="dxa"/>
              <w:bottom w:w="0" w:type="dxa"/>
              <w:right w:w="13" w:type="dxa"/>
            </w:tcMar>
            <w:vAlign w:val="center"/>
            <w:hideMark/>
          </w:tcPr>
          <w:p w14:paraId="3B1744B5"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sostenible para el aprovecha miento de la biodiversidad</w:t>
            </w:r>
          </w:p>
        </w:tc>
        <w:tc>
          <w:tcPr>
            <w:tcW w:w="857" w:type="pct"/>
            <w:tcBorders>
              <w:top w:val="single" w:sz="18" w:space="0" w:color="000000" w:themeColor="text1"/>
              <w:left w:val="single" w:sz="18" w:space="0" w:color="000000" w:themeColor="text1"/>
              <w:right w:val="single" w:sz="18" w:space="0" w:color="000000" w:themeColor="text1"/>
            </w:tcBorders>
            <w:shd w:val="clear" w:color="auto" w:fill="FFFF00"/>
            <w:tcMar>
              <w:top w:w="13" w:type="dxa"/>
              <w:left w:w="13" w:type="dxa"/>
              <w:bottom w:w="0" w:type="dxa"/>
              <w:right w:w="13" w:type="dxa"/>
            </w:tcMar>
            <w:vAlign w:val="center"/>
            <w:hideMark/>
          </w:tcPr>
          <w:p w14:paraId="06B3A0C9"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con reconversión productiva</w:t>
            </w:r>
          </w:p>
        </w:tc>
        <w:tc>
          <w:tcPr>
            <w:tcW w:w="790" w:type="pct"/>
            <w:tcBorders>
              <w:top w:val="single" w:sz="18" w:space="0" w:color="000000" w:themeColor="text1"/>
              <w:left w:val="single" w:sz="18" w:space="0" w:color="000000" w:themeColor="text1"/>
              <w:right w:val="single" w:sz="18" w:space="0" w:color="000000" w:themeColor="text1"/>
            </w:tcBorders>
            <w:shd w:val="clear" w:color="auto" w:fill="FFFF00"/>
            <w:tcMar>
              <w:top w:w="13" w:type="dxa"/>
              <w:left w:w="13" w:type="dxa"/>
              <w:bottom w:w="0" w:type="dxa"/>
              <w:right w:w="13" w:type="dxa"/>
            </w:tcMar>
            <w:vAlign w:val="center"/>
            <w:hideMark/>
          </w:tcPr>
          <w:p w14:paraId="342BE802"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con reconversión productiva</w:t>
            </w:r>
          </w:p>
        </w:tc>
        <w:tc>
          <w:tcPr>
            <w:tcW w:w="527" w:type="pct"/>
            <w:tcBorders>
              <w:top w:val="single" w:sz="18" w:space="0" w:color="000000" w:themeColor="text1"/>
              <w:left w:val="single" w:sz="18" w:space="0" w:color="000000" w:themeColor="text1"/>
              <w:right w:val="single" w:sz="18" w:space="0" w:color="000000" w:themeColor="text1"/>
            </w:tcBorders>
            <w:shd w:val="clear" w:color="auto" w:fill="519031"/>
            <w:tcMar>
              <w:top w:w="13" w:type="dxa"/>
              <w:left w:w="13" w:type="dxa"/>
              <w:bottom w:w="0" w:type="dxa"/>
              <w:right w:w="13" w:type="dxa"/>
            </w:tcMar>
            <w:vAlign w:val="center"/>
            <w:hideMark/>
          </w:tcPr>
          <w:p w14:paraId="137055EB"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Baja DSA</w:t>
            </w:r>
          </w:p>
        </w:tc>
      </w:tr>
      <w:tr w:rsidR="0088511D" w:rsidRPr="00FC5B6A" w14:paraId="4E2BA111" w14:textId="77777777" w:rsidTr="00D56EE9">
        <w:trPr>
          <w:trHeight w:val="351"/>
          <w:jc w:val="center"/>
        </w:trPr>
        <w:tc>
          <w:tcPr>
            <w:tcW w:w="409" w:type="pct"/>
            <w:vMerge/>
            <w:tcBorders>
              <w:left w:val="single" w:sz="18" w:space="0" w:color="000000" w:themeColor="text1"/>
              <w:right w:val="single" w:sz="18" w:space="0" w:color="000000" w:themeColor="text1"/>
            </w:tcBorders>
            <w:vAlign w:val="center"/>
            <w:hideMark/>
          </w:tcPr>
          <w:p w14:paraId="356D53B2"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637" w:type="pct"/>
            <w:vMerge/>
            <w:tcBorders>
              <w:left w:val="single" w:sz="18" w:space="0" w:color="000000" w:themeColor="text1"/>
            </w:tcBorders>
            <w:vAlign w:val="center"/>
            <w:hideMark/>
          </w:tcPr>
          <w:p w14:paraId="3E3099B9"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989" w:type="pct"/>
            <w:vMerge w:val="restart"/>
            <w:shd w:val="clear" w:color="auto" w:fill="FFAA00"/>
            <w:tcMar>
              <w:top w:w="13" w:type="dxa"/>
              <w:left w:w="13" w:type="dxa"/>
              <w:bottom w:w="0" w:type="dxa"/>
              <w:right w:w="13" w:type="dxa"/>
            </w:tcMar>
            <w:vAlign w:val="center"/>
            <w:hideMark/>
          </w:tcPr>
          <w:p w14:paraId="698621AD"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sostenible para el desarrollo</w:t>
            </w:r>
          </w:p>
        </w:tc>
        <w:tc>
          <w:tcPr>
            <w:tcW w:w="791" w:type="pct"/>
            <w:vMerge/>
            <w:tcBorders>
              <w:right w:val="single" w:sz="18" w:space="0" w:color="000000" w:themeColor="text1"/>
            </w:tcBorders>
            <w:vAlign w:val="center"/>
            <w:hideMark/>
          </w:tcPr>
          <w:p w14:paraId="59C6D106"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p>
        </w:tc>
        <w:tc>
          <w:tcPr>
            <w:tcW w:w="857" w:type="pct"/>
            <w:vMerge w:val="restart"/>
            <w:tcBorders>
              <w:left w:val="single" w:sz="18" w:space="0" w:color="000000" w:themeColor="text1"/>
              <w:right w:val="single" w:sz="18" w:space="0" w:color="000000" w:themeColor="text1"/>
            </w:tcBorders>
            <w:shd w:val="clear" w:color="auto" w:fill="A87000"/>
            <w:tcMar>
              <w:top w:w="13" w:type="dxa"/>
              <w:left w:w="13" w:type="dxa"/>
              <w:bottom w:w="0" w:type="dxa"/>
              <w:right w:w="13" w:type="dxa"/>
            </w:tcMar>
            <w:vAlign w:val="center"/>
            <w:hideMark/>
          </w:tcPr>
          <w:p w14:paraId="3B4DB197"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productivo</w:t>
            </w:r>
          </w:p>
        </w:tc>
        <w:tc>
          <w:tcPr>
            <w:tcW w:w="790" w:type="pct"/>
            <w:vMerge w:val="restart"/>
            <w:tcBorders>
              <w:left w:val="single" w:sz="18" w:space="0" w:color="000000" w:themeColor="text1"/>
              <w:right w:val="single" w:sz="18" w:space="0" w:color="000000" w:themeColor="text1"/>
            </w:tcBorders>
            <w:shd w:val="clear" w:color="auto" w:fill="A87000"/>
            <w:tcMar>
              <w:top w:w="13" w:type="dxa"/>
              <w:left w:w="13" w:type="dxa"/>
              <w:bottom w:w="0" w:type="dxa"/>
              <w:right w:w="13" w:type="dxa"/>
            </w:tcMar>
            <w:vAlign w:val="center"/>
            <w:hideMark/>
          </w:tcPr>
          <w:p w14:paraId="2EA2C29A" w14:textId="77777777" w:rsidR="0088511D" w:rsidRPr="00FC5B6A" w:rsidRDefault="0088511D" w:rsidP="00FE1F12">
            <w:pPr>
              <w:pStyle w:val="Normal1"/>
              <w:keepNext/>
              <w:tabs>
                <w:tab w:val="left" w:pos="8789"/>
              </w:tabs>
              <w:contextualSpacing/>
              <w:jc w:val="center"/>
              <w:rPr>
                <w:rFonts w:asciiTheme="minorHAnsi" w:hAnsiTheme="minorHAnsi" w:cstheme="minorHAnsi"/>
                <w:color w:val="000000" w:themeColor="text1"/>
              </w:rPr>
            </w:pPr>
            <w:r w:rsidRPr="00FC5B6A">
              <w:rPr>
                <w:rFonts w:asciiTheme="minorHAnsi" w:hAnsiTheme="minorHAnsi" w:cstheme="minorHAnsi"/>
                <w:color w:val="000000" w:themeColor="text1"/>
              </w:rPr>
              <w:t>Uso productivo</w:t>
            </w:r>
          </w:p>
        </w:tc>
        <w:tc>
          <w:tcPr>
            <w:tcW w:w="527" w:type="pct"/>
            <w:tcBorders>
              <w:left w:val="single" w:sz="18" w:space="0" w:color="000000" w:themeColor="text1"/>
              <w:right w:val="single" w:sz="18" w:space="0" w:color="000000" w:themeColor="text1"/>
            </w:tcBorders>
            <w:shd w:val="clear" w:color="auto" w:fill="FFFF00"/>
            <w:tcMar>
              <w:top w:w="13" w:type="dxa"/>
              <w:left w:w="13" w:type="dxa"/>
              <w:bottom w:w="0" w:type="dxa"/>
              <w:right w:w="13" w:type="dxa"/>
            </w:tcMar>
            <w:vAlign w:val="center"/>
            <w:hideMark/>
          </w:tcPr>
          <w:p w14:paraId="35105222"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Media DSA</w:t>
            </w:r>
          </w:p>
        </w:tc>
      </w:tr>
      <w:tr w:rsidR="0088511D" w:rsidRPr="00FC5B6A" w14:paraId="36089EB4" w14:textId="77777777" w:rsidTr="00D56EE9">
        <w:trPr>
          <w:trHeight w:val="351"/>
          <w:jc w:val="center"/>
        </w:trPr>
        <w:tc>
          <w:tcPr>
            <w:tcW w:w="409" w:type="pct"/>
            <w:vMerge/>
            <w:tcBorders>
              <w:left w:val="single" w:sz="18" w:space="0" w:color="000000" w:themeColor="text1"/>
              <w:bottom w:val="single" w:sz="18" w:space="0" w:color="000000" w:themeColor="text1"/>
              <w:right w:val="single" w:sz="18" w:space="0" w:color="000000" w:themeColor="text1"/>
            </w:tcBorders>
            <w:vAlign w:val="center"/>
            <w:hideMark/>
          </w:tcPr>
          <w:p w14:paraId="7ACEE449"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637" w:type="pct"/>
            <w:vMerge/>
            <w:tcBorders>
              <w:left w:val="single" w:sz="18" w:space="0" w:color="000000" w:themeColor="text1"/>
              <w:bottom w:val="single" w:sz="18" w:space="0" w:color="000000" w:themeColor="text1"/>
            </w:tcBorders>
            <w:vAlign w:val="center"/>
            <w:hideMark/>
          </w:tcPr>
          <w:p w14:paraId="6E18BFED"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989" w:type="pct"/>
            <w:vMerge/>
            <w:tcBorders>
              <w:bottom w:val="single" w:sz="18" w:space="0" w:color="000000" w:themeColor="text1"/>
            </w:tcBorders>
            <w:vAlign w:val="center"/>
            <w:hideMark/>
          </w:tcPr>
          <w:p w14:paraId="4687C73B"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791" w:type="pct"/>
            <w:vMerge/>
            <w:tcBorders>
              <w:bottom w:val="single" w:sz="18" w:space="0" w:color="000000" w:themeColor="text1"/>
              <w:right w:val="single" w:sz="18" w:space="0" w:color="000000" w:themeColor="text1"/>
            </w:tcBorders>
            <w:vAlign w:val="center"/>
            <w:hideMark/>
          </w:tcPr>
          <w:p w14:paraId="61F2FE12"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857" w:type="pct"/>
            <w:vMerge/>
            <w:tcBorders>
              <w:left w:val="single" w:sz="18" w:space="0" w:color="000000" w:themeColor="text1"/>
              <w:bottom w:val="single" w:sz="18" w:space="0" w:color="000000" w:themeColor="text1"/>
              <w:right w:val="single" w:sz="18" w:space="0" w:color="000000" w:themeColor="text1"/>
            </w:tcBorders>
            <w:vAlign w:val="center"/>
            <w:hideMark/>
          </w:tcPr>
          <w:p w14:paraId="4209D7FF"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790" w:type="pct"/>
            <w:vMerge/>
            <w:tcBorders>
              <w:left w:val="single" w:sz="18" w:space="0" w:color="000000" w:themeColor="text1"/>
              <w:bottom w:val="single" w:sz="18" w:space="0" w:color="000000" w:themeColor="text1"/>
              <w:right w:val="single" w:sz="18" w:space="0" w:color="000000" w:themeColor="text1"/>
            </w:tcBorders>
            <w:vAlign w:val="center"/>
            <w:hideMark/>
          </w:tcPr>
          <w:p w14:paraId="0EB03B37"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p>
        </w:tc>
        <w:tc>
          <w:tcPr>
            <w:tcW w:w="527" w:type="pct"/>
            <w:tcBorders>
              <w:left w:val="single" w:sz="18" w:space="0" w:color="000000" w:themeColor="text1"/>
              <w:bottom w:val="single" w:sz="18" w:space="0" w:color="000000" w:themeColor="text1"/>
              <w:right w:val="single" w:sz="18" w:space="0" w:color="000000" w:themeColor="text1"/>
            </w:tcBorders>
            <w:shd w:val="clear" w:color="auto" w:fill="FFC000"/>
            <w:tcMar>
              <w:top w:w="13" w:type="dxa"/>
              <w:left w:w="13" w:type="dxa"/>
              <w:bottom w:w="0" w:type="dxa"/>
              <w:right w:w="13" w:type="dxa"/>
            </w:tcMar>
            <w:vAlign w:val="center"/>
            <w:hideMark/>
          </w:tcPr>
          <w:p w14:paraId="19DC5DD6" w14:textId="77777777" w:rsidR="0088511D" w:rsidRPr="00FC5B6A" w:rsidRDefault="0088511D" w:rsidP="00FE1F12">
            <w:pPr>
              <w:pStyle w:val="Normal1"/>
              <w:keepNext/>
              <w:tabs>
                <w:tab w:val="left" w:pos="8789"/>
              </w:tabs>
              <w:contextualSpacing/>
              <w:rPr>
                <w:rFonts w:asciiTheme="minorHAnsi" w:hAnsiTheme="minorHAnsi" w:cstheme="minorHAnsi"/>
                <w:color w:val="000000" w:themeColor="text1"/>
              </w:rPr>
            </w:pPr>
            <w:r w:rsidRPr="00FC5B6A">
              <w:rPr>
                <w:rFonts w:asciiTheme="minorHAnsi" w:hAnsiTheme="minorHAnsi" w:cstheme="minorHAnsi"/>
                <w:b/>
                <w:bCs/>
                <w:color w:val="000000" w:themeColor="text1"/>
              </w:rPr>
              <w:t>Alta DSA</w:t>
            </w:r>
          </w:p>
        </w:tc>
      </w:tr>
    </w:tbl>
    <w:p w14:paraId="17AC5A35" w14:textId="77777777" w:rsidR="0049212F" w:rsidRPr="00FC5B6A" w:rsidRDefault="0049212F" w:rsidP="00FE1F12">
      <w:pPr>
        <w:rPr>
          <w:rFonts w:cstheme="minorHAnsi"/>
        </w:rPr>
      </w:pPr>
    </w:p>
    <w:p w14:paraId="3F98EDAA" w14:textId="77777777" w:rsidR="00D033F4" w:rsidRPr="00FC5B6A" w:rsidRDefault="00D033F4" w:rsidP="00D033F4">
      <w:pPr>
        <w:jc w:val="both"/>
        <w:rPr>
          <w:rFonts w:cstheme="minorHAnsi"/>
          <w:color w:val="000000" w:themeColor="text1"/>
        </w:rPr>
      </w:pPr>
      <w:r w:rsidRPr="00FC5B6A">
        <w:rPr>
          <w:rFonts w:cstheme="minorHAnsi"/>
          <w:color w:val="000000" w:themeColor="text1"/>
        </w:rPr>
        <w:lastRenderedPageBreak/>
        <w:t>* Para RFPN y RFPR no aplica el Uso sostenible para el desarrollo; en su lugar, aplica el Uso sostenible para el aprovechamiento de la biodiversidad.</w:t>
      </w:r>
    </w:p>
    <w:p w14:paraId="064C4D93" w14:textId="77777777" w:rsidR="0049212F" w:rsidRPr="00FC5B6A" w:rsidRDefault="0049212F" w:rsidP="00FE1F12">
      <w:pPr>
        <w:rPr>
          <w:rFonts w:cstheme="minorHAnsi"/>
        </w:rPr>
      </w:pPr>
    </w:p>
    <w:p w14:paraId="1293151B" w14:textId="77777777" w:rsidR="0049212F" w:rsidRPr="00FC5B6A" w:rsidRDefault="0049212F" w:rsidP="00FE1F12">
      <w:pPr>
        <w:rPr>
          <w:rFonts w:cstheme="minorHAnsi"/>
        </w:rPr>
      </w:pPr>
    </w:p>
    <w:p w14:paraId="1A506F00" w14:textId="77777777" w:rsidR="0049212F" w:rsidRPr="00FC5B6A" w:rsidRDefault="0049212F" w:rsidP="00FE1F12">
      <w:pPr>
        <w:rPr>
          <w:rFonts w:cstheme="minorHAnsi"/>
        </w:rPr>
      </w:pPr>
    </w:p>
    <w:p w14:paraId="43575084" w14:textId="3A4BA394" w:rsidR="00380D72" w:rsidRPr="00FC5B6A" w:rsidRDefault="00FE1F12" w:rsidP="00D847BE">
      <w:pPr>
        <w:keepNext/>
        <w:spacing w:after="0" w:line="276" w:lineRule="auto"/>
        <w:ind w:left="360"/>
        <w:jc w:val="center"/>
        <w:rPr>
          <w:rFonts w:cstheme="minorHAnsi"/>
          <w:bCs/>
          <w:sz w:val="20"/>
          <w:szCs w:val="16"/>
        </w:rPr>
      </w:pPr>
      <w:bookmarkStart w:id="106" w:name="_Toc170124923"/>
      <w:r w:rsidRPr="00FC5B6A">
        <w:rPr>
          <w:rFonts w:cstheme="minorHAnsi"/>
          <w:bCs/>
          <w:sz w:val="20"/>
          <w:szCs w:val="16"/>
        </w:rPr>
        <w:t xml:space="preserve">Tabla </w:t>
      </w:r>
      <w:r w:rsidRPr="00FC5B6A">
        <w:rPr>
          <w:rFonts w:cstheme="minorHAnsi"/>
          <w:bCs/>
          <w:sz w:val="20"/>
          <w:szCs w:val="16"/>
        </w:rPr>
        <w:fldChar w:fldCharType="begin"/>
      </w:r>
      <w:r w:rsidRPr="00FC5B6A">
        <w:rPr>
          <w:rFonts w:cstheme="minorHAnsi"/>
          <w:bCs/>
          <w:sz w:val="20"/>
          <w:szCs w:val="16"/>
        </w:rPr>
        <w:instrText xml:space="preserve"> SEQ Tabla \* ARABIC </w:instrText>
      </w:r>
      <w:r w:rsidRPr="00FC5B6A">
        <w:rPr>
          <w:rFonts w:cstheme="minorHAnsi"/>
          <w:bCs/>
          <w:sz w:val="20"/>
          <w:szCs w:val="16"/>
        </w:rPr>
        <w:fldChar w:fldCharType="separate"/>
      </w:r>
      <w:r w:rsidR="000C325D">
        <w:rPr>
          <w:rFonts w:cstheme="minorHAnsi"/>
          <w:bCs/>
          <w:noProof/>
          <w:sz w:val="20"/>
          <w:szCs w:val="16"/>
        </w:rPr>
        <w:t>11</w:t>
      </w:r>
      <w:r w:rsidRPr="00FC5B6A">
        <w:rPr>
          <w:rFonts w:cstheme="minorHAnsi"/>
          <w:bCs/>
          <w:sz w:val="20"/>
          <w:szCs w:val="16"/>
        </w:rPr>
        <w:fldChar w:fldCharType="end"/>
      </w:r>
      <w:r w:rsidR="00380D72" w:rsidRPr="00FC5B6A">
        <w:rPr>
          <w:rFonts w:cstheme="minorHAnsi"/>
          <w:bCs/>
          <w:sz w:val="20"/>
          <w:szCs w:val="16"/>
        </w:rPr>
        <w:t>. Distribución de las Zonas de Manejo Ambiental y Categorías Ambientales de Uso por Ámbito Territorial.</w:t>
      </w:r>
      <w:bookmarkEnd w:id="106"/>
    </w:p>
    <w:tbl>
      <w:tblPr>
        <w:tblStyle w:val="Tablanormal2"/>
        <w:tblW w:w="8931" w:type="dxa"/>
        <w:tblLook w:val="04A0" w:firstRow="1" w:lastRow="0" w:firstColumn="1" w:lastColumn="0" w:noHBand="0" w:noVBand="1"/>
      </w:tblPr>
      <w:tblGrid>
        <w:gridCol w:w="2736"/>
        <w:gridCol w:w="6195"/>
      </w:tblGrid>
      <w:tr w:rsidR="00380D72" w:rsidRPr="00FC5B6A" w14:paraId="1F453C15" w14:textId="77777777" w:rsidTr="00380D72">
        <w:trPr>
          <w:cnfStyle w:val="100000000000" w:firstRow="1" w:lastRow="0" w:firstColumn="0" w:lastColumn="0" w:oddVBand="0" w:evenVBand="0" w:oddHBand="0" w:evenHBand="0" w:firstRowFirstColumn="0" w:firstRowLastColumn="0" w:lastRowFirstColumn="0" w:lastRowLastColumn="0"/>
          <w:trHeight w:val="267"/>
          <w:tblHeader/>
        </w:trPr>
        <w:tc>
          <w:tcPr>
            <w:cnfStyle w:val="001000000000" w:firstRow="0" w:lastRow="0" w:firstColumn="1" w:lastColumn="0" w:oddVBand="0" w:evenVBand="0" w:oddHBand="0" w:evenHBand="0" w:firstRowFirstColumn="0" w:firstRowLastColumn="0" w:lastRowFirstColumn="0" w:lastRowLastColumn="0"/>
            <w:tcW w:w="2736" w:type="dxa"/>
          </w:tcPr>
          <w:p w14:paraId="07B8BCE3" w14:textId="77777777" w:rsidR="00380D72" w:rsidRPr="00FC5B6A" w:rsidRDefault="00380D72" w:rsidP="00380D72">
            <w:pPr>
              <w:spacing w:line="276" w:lineRule="auto"/>
              <w:jc w:val="both"/>
              <w:rPr>
                <w:rFonts w:asciiTheme="minorHAnsi" w:eastAsiaTheme="majorEastAsia" w:hAnsiTheme="minorHAnsi" w:cstheme="minorHAnsi"/>
                <w:b w:val="0"/>
                <w:noProof/>
                <w:color w:val="000000" w:themeColor="text1"/>
                <w:kern w:val="2"/>
                <w:sz w:val="22"/>
                <w:szCs w:val="22"/>
                <w:lang w:eastAsia="en-US"/>
                <w14:ligatures w14:val="standardContextual"/>
              </w:rPr>
            </w:pPr>
            <w:r w:rsidRPr="00FC5B6A">
              <w:rPr>
                <w:rFonts w:asciiTheme="minorHAnsi" w:eastAsiaTheme="majorEastAsia" w:hAnsiTheme="minorHAnsi" w:cstheme="minorHAnsi"/>
                <w:b w:val="0"/>
                <w:bCs w:val="0"/>
                <w:noProof/>
                <w:color w:val="000000" w:themeColor="text1"/>
                <w:kern w:val="2"/>
                <w:sz w:val="22"/>
                <w:szCs w:val="22"/>
                <w:lang w:eastAsia="en-US"/>
                <w14:ligatures w14:val="standardContextual"/>
              </w:rPr>
              <w:t>Ámbito Territorial</w:t>
            </w:r>
          </w:p>
        </w:tc>
        <w:tc>
          <w:tcPr>
            <w:tcW w:w="6195" w:type="dxa"/>
            <w:noWrap/>
            <w:hideMark/>
          </w:tcPr>
          <w:p w14:paraId="5532F747" w14:textId="77777777" w:rsidR="00380D72" w:rsidRPr="00FC5B6A" w:rsidRDefault="00380D72" w:rsidP="00380D72">
            <w:pPr>
              <w:spacing w:line="276" w:lineRule="auto"/>
              <w:jc w:val="both"/>
              <w:cnfStyle w:val="100000000000" w:firstRow="1" w:lastRow="0" w:firstColumn="0" w:lastColumn="0" w:oddVBand="0" w:evenVBand="0" w:oddHBand="0" w:evenHBand="0" w:firstRowFirstColumn="0" w:firstRowLastColumn="0" w:lastRowFirstColumn="0" w:lastRowLastColumn="0"/>
              <w:rPr>
                <w:rFonts w:asciiTheme="minorHAnsi" w:eastAsiaTheme="majorEastAsia" w:hAnsiTheme="minorHAnsi" w:cstheme="minorHAnsi"/>
                <w:b w:val="0"/>
                <w:noProof/>
                <w:color w:val="000000" w:themeColor="text1"/>
                <w:kern w:val="2"/>
                <w:sz w:val="22"/>
                <w:szCs w:val="22"/>
                <w:lang w:eastAsia="en-US"/>
                <w14:ligatures w14:val="standardContextual"/>
              </w:rPr>
            </w:pPr>
            <w:r w:rsidRPr="00FC5B6A">
              <w:rPr>
                <w:rFonts w:asciiTheme="minorHAnsi" w:eastAsiaTheme="majorEastAsia" w:hAnsiTheme="minorHAnsi" w:cstheme="minorHAnsi"/>
                <w:b w:val="0"/>
                <w:bCs w:val="0"/>
                <w:noProof/>
                <w:color w:val="000000" w:themeColor="text1"/>
                <w:kern w:val="2"/>
                <w:sz w:val="22"/>
                <w:szCs w:val="22"/>
                <w:lang w:eastAsia="en-US"/>
                <w14:ligatures w14:val="standardContextual"/>
              </w:rPr>
              <w:t>Zona de Manejo Ambiental / Categoría Ambiental de Uso</w:t>
            </w:r>
          </w:p>
        </w:tc>
      </w:tr>
      <w:tr w:rsidR="00380D72" w:rsidRPr="00FC5B6A" w14:paraId="197DB72C" w14:textId="77777777" w:rsidTr="00380D7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736" w:type="dxa"/>
            <w:vMerge w:val="restart"/>
            <w:vAlign w:val="center"/>
          </w:tcPr>
          <w:p w14:paraId="3E1EAA93"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p>
          <w:p w14:paraId="3982A50A"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p>
          <w:p w14:paraId="64025017"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b w:val="0"/>
                <w:bCs w:val="0"/>
                <w:noProof/>
                <w:color w:val="000000" w:themeColor="text1"/>
                <w:kern w:val="2"/>
                <w:sz w:val="22"/>
                <w:szCs w:val="22"/>
                <w:lang w:eastAsia="en-US"/>
                <w14:ligatures w14:val="standardContextual"/>
              </w:rPr>
              <w:t>AEIA</w:t>
            </w:r>
          </w:p>
          <w:p w14:paraId="47C76BEE"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p>
        </w:tc>
        <w:tc>
          <w:tcPr>
            <w:tcW w:w="6195" w:type="dxa"/>
            <w:shd w:val="clear" w:color="auto" w:fill="00B050"/>
            <w:vAlign w:val="center"/>
            <w:hideMark/>
          </w:tcPr>
          <w:p w14:paraId="488460AD" w14:textId="77777777" w:rsidR="00380D72" w:rsidRPr="00FC5B6A" w:rsidRDefault="00380D72" w:rsidP="00380D72">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noProof/>
                <w:color w:val="000000" w:themeColor="text1"/>
                <w:kern w:val="2"/>
                <w:sz w:val="22"/>
                <w:szCs w:val="22"/>
                <w:lang w:eastAsia="en-US"/>
                <w14:ligatures w14:val="standardContextual"/>
              </w:rPr>
              <w:t>Preservación</w:t>
            </w:r>
          </w:p>
        </w:tc>
      </w:tr>
      <w:tr w:rsidR="00380D72" w:rsidRPr="00FC5B6A" w14:paraId="787FE9A5" w14:textId="77777777" w:rsidTr="00380D72">
        <w:trPr>
          <w:trHeight w:val="288"/>
        </w:trPr>
        <w:tc>
          <w:tcPr>
            <w:cnfStyle w:val="001000000000" w:firstRow="0" w:lastRow="0" w:firstColumn="1" w:lastColumn="0" w:oddVBand="0" w:evenVBand="0" w:oddHBand="0" w:evenHBand="0" w:firstRowFirstColumn="0" w:firstRowLastColumn="0" w:lastRowFirstColumn="0" w:lastRowLastColumn="0"/>
            <w:tcW w:w="2736" w:type="dxa"/>
            <w:vMerge/>
            <w:vAlign w:val="center"/>
          </w:tcPr>
          <w:p w14:paraId="06E8E329"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p>
        </w:tc>
        <w:tc>
          <w:tcPr>
            <w:tcW w:w="6195" w:type="dxa"/>
            <w:shd w:val="clear" w:color="auto" w:fill="2DF1FB"/>
            <w:vAlign w:val="center"/>
            <w:hideMark/>
          </w:tcPr>
          <w:p w14:paraId="2F5F5D02" w14:textId="77777777" w:rsidR="00380D72" w:rsidRPr="00FC5B6A" w:rsidRDefault="00380D72" w:rsidP="00380D72">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noProof/>
                <w:color w:val="000000" w:themeColor="text1"/>
                <w:kern w:val="2"/>
                <w:sz w:val="22"/>
                <w:szCs w:val="22"/>
                <w:lang w:eastAsia="en-US"/>
                <w14:ligatures w14:val="standardContextual"/>
              </w:rPr>
              <w:t>Restauración</w:t>
            </w:r>
          </w:p>
        </w:tc>
      </w:tr>
      <w:tr w:rsidR="00380D72" w:rsidRPr="00FC5B6A" w14:paraId="5FCF5148" w14:textId="77777777" w:rsidTr="00380D72">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736" w:type="dxa"/>
            <w:vMerge/>
            <w:vAlign w:val="center"/>
          </w:tcPr>
          <w:p w14:paraId="5E334990"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p>
        </w:tc>
        <w:tc>
          <w:tcPr>
            <w:tcW w:w="6195" w:type="dxa"/>
            <w:shd w:val="clear" w:color="auto" w:fill="FB799E"/>
            <w:vAlign w:val="center"/>
            <w:hideMark/>
          </w:tcPr>
          <w:p w14:paraId="709A056E" w14:textId="77777777" w:rsidR="00380D72" w:rsidRPr="00FC5B6A" w:rsidRDefault="00380D72" w:rsidP="00380D72">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noProof/>
                <w:color w:val="000000" w:themeColor="text1"/>
                <w:kern w:val="2"/>
                <w:sz w:val="22"/>
                <w:szCs w:val="22"/>
                <w:lang w:eastAsia="en-US"/>
                <w14:ligatures w14:val="standardContextual"/>
              </w:rPr>
              <w:t>Uso sostenible para el aprovechamiento de la biodiversidad</w:t>
            </w:r>
          </w:p>
        </w:tc>
      </w:tr>
      <w:tr w:rsidR="00380D72" w:rsidRPr="00FC5B6A" w14:paraId="4D129C5A" w14:textId="77777777" w:rsidTr="00380D72">
        <w:trPr>
          <w:trHeight w:val="288"/>
        </w:trPr>
        <w:tc>
          <w:tcPr>
            <w:cnfStyle w:val="001000000000" w:firstRow="0" w:lastRow="0" w:firstColumn="1" w:lastColumn="0" w:oddVBand="0" w:evenVBand="0" w:oddHBand="0" w:evenHBand="0" w:firstRowFirstColumn="0" w:firstRowLastColumn="0" w:lastRowFirstColumn="0" w:lastRowLastColumn="0"/>
            <w:tcW w:w="2736" w:type="dxa"/>
            <w:vMerge/>
            <w:vAlign w:val="center"/>
          </w:tcPr>
          <w:p w14:paraId="2F6E2EF8"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p>
        </w:tc>
        <w:tc>
          <w:tcPr>
            <w:tcW w:w="6195" w:type="dxa"/>
            <w:shd w:val="clear" w:color="auto" w:fill="FFC000"/>
            <w:vAlign w:val="center"/>
            <w:hideMark/>
          </w:tcPr>
          <w:p w14:paraId="310CA494" w14:textId="77777777" w:rsidR="00380D72" w:rsidRPr="00FC5B6A" w:rsidRDefault="00380D72" w:rsidP="00380D72">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noProof/>
                <w:color w:val="000000" w:themeColor="text1"/>
                <w:kern w:val="2"/>
                <w:sz w:val="22"/>
                <w:szCs w:val="22"/>
                <w:lang w:eastAsia="en-US"/>
                <w14:ligatures w14:val="standardContextual"/>
              </w:rPr>
              <w:t>Uso sostenible para el desarrollo</w:t>
            </w:r>
          </w:p>
        </w:tc>
      </w:tr>
      <w:tr w:rsidR="00380D72" w:rsidRPr="00FC5B6A" w14:paraId="14491EEF" w14:textId="77777777" w:rsidTr="00380D7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736" w:type="dxa"/>
            <w:vMerge w:val="restart"/>
            <w:vAlign w:val="center"/>
          </w:tcPr>
          <w:p w14:paraId="5E0519B0"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p>
          <w:p w14:paraId="04B74B7C"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b w:val="0"/>
                <w:bCs w:val="0"/>
                <w:noProof/>
                <w:color w:val="000000" w:themeColor="text1"/>
                <w:kern w:val="2"/>
                <w:sz w:val="22"/>
                <w:szCs w:val="22"/>
                <w:lang w:eastAsia="en-US"/>
                <w14:ligatures w14:val="standardContextual"/>
              </w:rPr>
              <w:t>Franja de Estabilización</w:t>
            </w:r>
          </w:p>
        </w:tc>
        <w:tc>
          <w:tcPr>
            <w:tcW w:w="6195" w:type="dxa"/>
            <w:shd w:val="clear" w:color="auto" w:fill="C436BD"/>
            <w:vAlign w:val="center"/>
            <w:hideMark/>
          </w:tcPr>
          <w:p w14:paraId="06D77FA9" w14:textId="77777777" w:rsidR="00380D72" w:rsidRPr="00FC5B6A" w:rsidRDefault="00380D72" w:rsidP="00380D72">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noProof/>
                <w:color w:val="000000" w:themeColor="text1"/>
                <w:kern w:val="2"/>
                <w:sz w:val="22"/>
                <w:szCs w:val="22"/>
                <w:lang w:eastAsia="en-US"/>
                <w14:ligatures w14:val="standardContextual"/>
              </w:rPr>
              <w:t>Protección por Alta Oferta de SSEE</w:t>
            </w:r>
          </w:p>
        </w:tc>
      </w:tr>
      <w:tr w:rsidR="00380D72" w:rsidRPr="00FC5B6A" w14:paraId="79988759" w14:textId="77777777" w:rsidTr="00380D72">
        <w:trPr>
          <w:trHeight w:val="449"/>
        </w:trPr>
        <w:tc>
          <w:tcPr>
            <w:cnfStyle w:val="001000000000" w:firstRow="0" w:lastRow="0" w:firstColumn="1" w:lastColumn="0" w:oddVBand="0" w:evenVBand="0" w:oddHBand="0" w:evenHBand="0" w:firstRowFirstColumn="0" w:firstRowLastColumn="0" w:lastRowFirstColumn="0" w:lastRowLastColumn="0"/>
            <w:tcW w:w="2736" w:type="dxa"/>
            <w:vMerge/>
            <w:vAlign w:val="center"/>
          </w:tcPr>
          <w:p w14:paraId="54347490"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p>
        </w:tc>
        <w:tc>
          <w:tcPr>
            <w:tcW w:w="6195" w:type="dxa"/>
            <w:shd w:val="clear" w:color="auto" w:fill="94F513"/>
            <w:vAlign w:val="center"/>
            <w:hideMark/>
          </w:tcPr>
          <w:p w14:paraId="7B68ABEC" w14:textId="77777777" w:rsidR="00380D72" w:rsidRPr="00FC5B6A" w:rsidRDefault="00380D72" w:rsidP="00380D72">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noProof/>
                <w:color w:val="000000" w:themeColor="text1"/>
                <w:kern w:val="2"/>
                <w:sz w:val="22"/>
                <w:szCs w:val="22"/>
                <w:lang w:eastAsia="en-US"/>
                <w14:ligatures w14:val="standardContextual"/>
              </w:rPr>
              <w:t>Protección con uso sostenible</w:t>
            </w:r>
          </w:p>
        </w:tc>
      </w:tr>
      <w:tr w:rsidR="00380D72" w:rsidRPr="00FC5B6A" w14:paraId="644DB917" w14:textId="77777777" w:rsidTr="00380D7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736" w:type="dxa"/>
            <w:vMerge w:val="restart"/>
            <w:vAlign w:val="center"/>
          </w:tcPr>
          <w:p w14:paraId="6B8D6308"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p>
          <w:p w14:paraId="2A1D13EE"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b w:val="0"/>
                <w:bCs w:val="0"/>
                <w:noProof/>
                <w:color w:val="000000" w:themeColor="text1"/>
                <w:kern w:val="2"/>
                <w:sz w:val="22"/>
                <w:szCs w:val="22"/>
                <w:lang w:eastAsia="en-US"/>
                <w14:ligatures w14:val="standardContextual"/>
              </w:rPr>
              <w:t>Franja de Estabilización y Frontera Agrícola</w:t>
            </w:r>
          </w:p>
        </w:tc>
        <w:tc>
          <w:tcPr>
            <w:tcW w:w="6195" w:type="dxa"/>
            <w:shd w:val="clear" w:color="auto" w:fill="FFFF00"/>
            <w:vAlign w:val="center"/>
            <w:hideMark/>
          </w:tcPr>
          <w:p w14:paraId="38926C33" w14:textId="77777777" w:rsidR="00380D72" w:rsidRPr="00FC5B6A" w:rsidRDefault="00380D72" w:rsidP="00380D72">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noProof/>
                <w:color w:val="000000" w:themeColor="text1"/>
                <w:kern w:val="2"/>
                <w:sz w:val="22"/>
                <w:szCs w:val="22"/>
                <w:lang w:eastAsia="en-US"/>
                <w14:ligatures w14:val="standardContextual"/>
              </w:rPr>
              <w:t>Uso productivo con reconversión</w:t>
            </w:r>
          </w:p>
        </w:tc>
      </w:tr>
      <w:tr w:rsidR="00380D72" w:rsidRPr="00FC5B6A" w14:paraId="50B3FBFD" w14:textId="77777777" w:rsidTr="00380D72">
        <w:trPr>
          <w:trHeight w:val="288"/>
        </w:trPr>
        <w:tc>
          <w:tcPr>
            <w:cnfStyle w:val="001000000000" w:firstRow="0" w:lastRow="0" w:firstColumn="1" w:lastColumn="0" w:oddVBand="0" w:evenVBand="0" w:oddHBand="0" w:evenHBand="0" w:firstRowFirstColumn="0" w:firstRowLastColumn="0" w:lastRowFirstColumn="0" w:lastRowLastColumn="0"/>
            <w:tcW w:w="2736" w:type="dxa"/>
            <w:vMerge/>
            <w:vAlign w:val="center"/>
          </w:tcPr>
          <w:p w14:paraId="14C29C06"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p>
        </w:tc>
        <w:tc>
          <w:tcPr>
            <w:tcW w:w="6195" w:type="dxa"/>
            <w:shd w:val="clear" w:color="auto" w:fill="806000" w:themeFill="accent4" w:themeFillShade="80"/>
            <w:vAlign w:val="center"/>
            <w:hideMark/>
          </w:tcPr>
          <w:p w14:paraId="08E83E8A" w14:textId="77777777" w:rsidR="00380D72" w:rsidRPr="00FC5B6A" w:rsidRDefault="00380D72" w:rsidP="00380D72">
            <w:pPr>
              <w:spacing w:line="276" w:lineRule="auto"/>
              <w:jc w:val="both"/>
              <w:cnfStyle w:val="000000000000" w:firstRow="0" w:lastRow="0" w:firstColumn="0" w:lastColumn="0" w:oddVBand="0" w:evenVBand="0" w:oddHBand="0" w:evenHBand="0" w:firstRowFirstColumn="0" w:firstRowLastColumn="0" w:lastRowFirstColumn="0" w:lastRowLastColumn="0"/>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noProof/>
                <w:color w:val="000000" w:themeColor="text1"/>
                <w:kern w:val="2"/>
                <w:sz w:val="22"/>
                <w:szCs w:val="22"/>
                <w:lang w:eastAsia="en-US"/>
                <w14:ligatures w14:val="standardContextual"/>
              </w:rPr>
              <w:t>Uso productivo</w:t>
            </w:r>
          </w:p>
        </w:tc>
      </w:tr>
      <w:tr w:rsidR="00380D72" w:rsidRPr="00FC5B6A" w14:paraId="2D4BD8CD" w14:textId="77777777" w:rsidTr="00380D7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736" w:type="dxa"/>
            <w:vAlign w:val="center"/>
          </w:tcPr>
          <w:p w14:paraId="23D6FA2B" w14:textId="77777777" w:rsidR="00380D72" w:rsidRPr="00FC5B6A" w:rsidRDefault="00380D72" w:rsidP="00380D72">
            <w:pPr>
              <w:spacing w:line="276" w:lineRule="auto"/>
              <w:jc w:val="both"/>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b w:val="0"/>
                <w:bCs w:val="0"/>
                <w:noProof/>
                <w:color w:val="000000" w:themeColor="text1"/>
                <w:kern w:val="2"/>
                <w:sz w:val="22"/>
                <w:szCs w:val="22"/>
                <w:lang w:eastAsia="en-US"/>
                <w14:ligatures w14:val="standardContextual"/>
              </w:rPr>
              <w:t>Frontera Agrícola</w:t>
            </w:r>
          </w:p>
        </w:tc>
        <w:tc>
          <w:tcPr>
            <w:tcW w:w="6195" w:type="dxa"/>
            <w:shd w:val="clear" w:color="auto" w:fill="8DA804"/>
            <w:vAlign w:val="center"/>
          </w:tcPr>
          <w:p w14:paraId="0948149F" w14:textId="77777777" w:rsidR="00380D72" w:rsidRPr="00FC5B6A" w:rsidRDefault="00380D72" w:rsidP="00380D72">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eastAsiaTheme="majorEastAsia" w:hAnsiTheme="minorHAnsi" w:cstheme="minorHAnsi"/>
                <w:noProof/>
                <w:color w:val="000000" w:themeColor="text1"/>
                <w:kern w:val="2"/>
                <w:sz w:val="22"/>
                <w:szCs w:val="22"/>
                <w:lang w:eastAsia="en-US"/>
                <w14:ligatures w14:val="standardContextual"/>
              </w:rPr>
            </w:pPr>
            <w:r w:rsidRPr="00FC5B6A">
              <w:rPr>
                <w:rFonts w:asciiTheme="minorHAnsi" w:eastAsiaTheme="majorEastAsia" w:hAnsiTheme="minorHAnsi" w:cstheme="minorHAnsi"/>
                <w:noProof/>
                <w:color w:val="000000" w:themeColor="text1"/>
                <w:kern w:val="2"/>
                <w:sz w:val="22"/>
                <w:szCs w:val="22"/>
                <w:lang w:eastAsia="en-US"/>
                <w14:ligatures w14:val="standardContextual"/>
              </w:rPr>
              <w:t>Uso productivo con protección</w:t>
            </w:r>
          </w:p>
        </w:tc>
      </w:tr>
    </w:tbl>
    <w:p w14:paraId="51C8FD6C" w14:textId="77777777" w:rsidR="00380D72" w:rsidRPr="00FC5B6A" w:rsidRDefault="00380D72" w:rsidP="00380D72">
      <w:pPr>
        <w:spacing w:after="0" w:line="276" w:lineRule="auto"/>
        <w:jc w:val="both"/>
        <w:rPr>
          <w:rFonts w:eastAsiaTheme="majorEastAsia" w:cstheme="minorHAnsi"/>
          <w:noProof/>
          <w:color w:val="000000" w:themeColor="text1"/>
        </w:rPr>
      </w:pPr>
    </w:p>
    <w:p w14:paraId="07A071C9" w14:textId="77777777" w:rsidR="00B75C73" w:rsidRPr="00FC5B6A" w:rsidRDefault="00B75C73">
      <w:pPr>
        <w:rPr>
          <w:rFonts w:cstheme="minorHAnsi"/>
        </w:rPr>
      </w:pPr>
    </w:p>
    <w:p w14:paraId="1F0B1F55" w14:textId="57241668" w:rsidR="004E1277" w:rsidRPr="00FC5B6A" w:rsidRDefault="00FE1F12">
      <w:pPr>
        <w:rPr>
          <w:rFonts w:eastAsiaTheme="majorEastAsia" w:cstheme="minorHAnsi"/>
          <w:color w:val="2F5496" w:themeColor="accent1" w:themeShade="BF"/>
          <w:sz w:val="32"/>
          <w:szCs w:val="32"/>
        </w:rPr>
      </w:pPr>
      <w:r w:rsidRPr="00FC5B6A">
        <w:rPr>
          <w:rFonts w:cstheme="minorHAnsi"/>
        </w:rPr>
        <w:br w:type="page"/>
      </w:r>
    </w:p>
    <w:p w14:paraId="406715AD" w14:textId="625B3B58" w:rsidR="00DA475B" w:rsidRPr="00FC5B6A" w:rsidRDefault="22DF84DA" w:rsidP="0A141EBB">
      <w:pPr>
        <w:pStyle w:val="Ttulo1"/>
        <w:jc w:val="both"/>
        <w:rPr>
          <w:rFonts w:asciiTheme="minorHAnsi" w:hAnsiTheme="minorHAnsi" w:cstheme="minorBidi"/>
          <w:lang w:val="es-ES"/>
        </w:rPr>
      </w:pPr>
      <w:bookmarkStart w:id="107" w:name="_Toc186104585"/>
      <w:bookmarkStart w:id="108" w:name="_Toc224921368"/>
      <w:r w:rsidRPr="00FC5B6A">
        <w:rPr>
          <w:rFonts w:asciiTheme="minorHAnsi" w:hAnsiTheme="minorHAnsi" w:cstheme="minorBidi"/>
        </w:rPr>
        <w:lastRenderedPageBreak/>
        <w:t>Resultados de la zonificación ambiental en el área de aplicación del acto administrativo</w:t>
      </w:r>
      <w:bookmarkEnd w:id="107"/>
      <w:bookmarkEnd w:id="108"/>
    </w:p>
    <w:p w14:paraId="3C1FA8AD" w14:textId="6E06C0C6" w:rsidR="0A141EBB" w:rsidRPr="00FC5B6A" w:rsidRDefault="0A141EBB" w:rsidP="0A141EBB">
      <w:pPr>
        <w:rPr>
          <w:lang w:val="es-ES"/>
        </w:rPr>
      </w:pPr>
    </w:p>
    <w:p w14:paraId="00D77B7F" w14:textId="0BBA276E" w:rsidR="00D04666" w:rsidRDefault="0983F672" w:rsidP="005A4F56">
      <w:pPr>
        <w:spacing w:after="0" w:line="240" w:lineRule="auto"/>
        <w:jc w:val="both"/>
      </w:pPr>
      <w:r w:rsidRPr="00FC5B6A">
        <w:t xml:space="preserve">La Zonificación Ambiental cuya metodología fue adoptada de los procesamientos realizados para el cumplimiento del punto 1.1.10 del AFP, define tres (3) ámbitos territoriales de gestión asociados a: </w:t>
      </w:r>
      <w:r w:rsidRPr="00FC5B6A">
        <w:rPr>
          <w:i/>
          <w:iCs/>
        </w:rPr>
        <w:t>1) Áreas de Especial Interés Ambiental – AEIA; 2) Frontera Agrícola; 3) Franja de Estabilización de la Frontera Agrícola.</w:t>
      </w:r>
      <w:r w:rsidRPr="00FC5B6A">
        <w:t xml:space="preserve"> En el ámbito territorial de gestión de las AEIA, se ubican las Áreas de Reserva Forestal establecidas mediante la Ley 2 de 1959, las cuales, exceptuando las áreas con previa decisión de ordenamiento (áreas del SINAP y territorios colectivos), abarcan aproximadamente 10.7 millones de hectáreas.</w:t>
      </w:r>
    </w:p>
    <w:p w14:paraId="6FA35F21" w14:textId="77777777" w:rsidR="005A4F56" w:rsidRPr="00FC5B6A" w:rsidRDefault="005A4F56" w:rsidP="005A4F56">
      <w:pPr>
        <w:spacing w:after="0" w:line="240" w:lineRule="auto"/>
        <w:jc w:val="both"/>
      </w:pPr>
    </w:p>
    <w:p w14:paraId="76DF95AC" w14:textId="71D7558B" w:rsidR="00D04666" w:rsidRDefault="0983F672" w:rsidP="005A4F56">
      <w:pPr>
        <w:spacing w:after="0" w:line="240" w:lineRule="auto"/>
        <w:jc w:val="both"/>
      </w:pPr>
      <w:r w:rsidRPr="00FC5B6A">
        <w:t xml:space="preserve">Es de resaltar que, de las </w:t>
      </w:r>
      <w:r w:rsidRPr="00FC5B6A">
        <w:rPr>
          <w:rFonts w:ascii="Calibri" w:eastAsia="Calibri" w:hAnsi="Calibri" w:cs="Calibri"/>
        </w:rPr>
        <w:t>221.471</w:t>
      </w:r>
      <w:r w:rsidRPr="00FC5B6A">
        <w:t xml:space="preserve"> hectáreas correspondientes a la de reserva forestal del Cocuy establecidas mediante la Ley 2 de 1959 </w:t>
      </w:r>
      <w:r w:rsidRPr="00FC5B6A">
        <w:rPr>
          <w:lang w:val="es-ES"/>
        </w:rPr>
        <w:t>a excepción de áreas con decisión de ordenamiento, territorios colectivos debidamente constituidos y los ecosistemas estratégicos de páramo delimitados</w:t>
      </w:r>
      <w:r w:rsidRPr="00FC5B6A">
        <w:t>, fueron objeto de aplicación de la metodología descrita para definir la Zonificación Ambiental.</w:t>
      </w:r>
    </w:p>
    <w:p w14:paraId="4007894F" w14:textId="77777777" w:rsidR="005A4F56" w:rsidRPr="00FC5B6A" w:rsidRDefault="005A4F56" w:rsidP="005A4F56">
      <w:pPr>
        <w:spacing w:after="0" w:line="240" w:lineRule="auto"/>
        <w:jc w:val="both"/>
      </w:pPr>
    </w:p>
    <w:p w14:paraId="59610D0D" w14:textId="733E1AEE" w:rsidR="22DF84DA" w:rsidRDefault="0983F672" w:rsidP="005A4F56">
      <w:pPr>
        <w:spacing w:after="0" w:line="240" w:lineRule="auto"/>
        <w:jc w:val="both"/>
      </w:pPr>
      <w:r w:rsidRPr="00FC5B6A">
        <w:t xml:space="preserve">Ahora bien, la Zonificación ambiental bajo la metodología adoptada por la resolución 1608 de 2021 para el cumplimiento del punto 1.1.10 del AFP, definió para las AEIA (incluye las Áreas de reserva forestal establecidas mediante la Ley 2 de 1959), cuatro (4) Zonas de manejo ambiental correspondientes a las definidas por la normativa ambiental para la zonificación de áreas de manejo ambiental especial, y referidas a continuación: </w:t>
      </w:r>
    </w:p>
    <w:p w14:paraId="2A689F62" w14:textId="77777777" w:rsidR="005A4F56" w:rsidRPr="00FC5B6A" w:rsidRDefault="005A4F56" w:rsidP="005A4F56">
      <w:pPr>
        <w:spacing w:after="0" w:line="240" w:lineRule="auto"/>
        <w:jc w:val="both"/>
      </w:pPr>
    </w:p>
    <w:p w14:paraId="7ABA6A88" w14:textId="59F25C95" w:rsidR="00895974" w:rsidRPr="00E74796" w:rsidRDefault="00895974" w:rsidP="00E74796">
      <w:pPr>
        <w:numPr>
          <w:ilvl w:val="0"/>
          <w:numId w:val="30"/>
        </w:numPr>
        <w:jc w:val="both"/>
        <w:rPr>
          <w:rFonts w:eastAsiaTheme="minorEastAsia"/>
          <w:b/>
          <w:bCs/>
          <w:color w:val="000000" w:themeColor="text1"/>
          <w:kern w:val="0"/>
          <w14:ligatures w14:val="none"/>
        </w:rPr>
      </w:pPr>
      <w:r w:rsidRPr="00E74796">
        <w:rPr>
          <w:rFonts w:eastAsiaTheme="minorEastAsia"/>
          <w:b/>
          <w:bCs/>
          <w:color w:val="000000" w:themeColor="text1"/>
          <w:kern w:val="0"/>
          <w14:ligatures w14:val="none"/>
        </w:rPr>
        <w:t xml:space="preserve">Áreas de manejo ambiental con una alta oferta de servicios ecosistémicos. </w:t>
      </w:r>
      <w:r w:rsidRPr="00E74796">
        <w:rPr>
          <w:rFonts w:eastAsiaTheme="minorEastAsia"/>
          <w:color w:val="000000" w:themeColor="text1"/>
          <w:kern w:val="0"/>
          <w14:ligatures w14:val="none"/>
        </w:rPr>
        <w:t>Aquellas que mantengan el valor ecológico y la alta oferta de servicios ecosistémicos. Para áreas con una oferta alta de servicios ecosistémicos para un manejo ambiental enfocado a garantizar el estado natural de las coberturas, la integridad ecológica de los ecosistemas naturales medida en estructura, composición y función protectora para la continuidad de los procesos ecológicos y la conservación de la biodiversidad, razón por la cual las áreas incluidas en esta área deben mantener actividades que no impliquen la remoción de bosques</w:t>
      </w:r>
    </w:p>
    <w:p w14:paraId="7E971A6A" w14:textId="5734FC9A" w:rsidR="00895974" w:rsidRPr="005A4F56" w:rsidRDefault="00895974" w:rsidP="00895974">
      <w:pPr>
        <w:numPr>
          <w:ilvl w:val="0"/>
          <w:numId w:val="31"/>
        </w:numPr>
        <w:jc w:val="both"/>
        <w:rPr>
          <w:rFonts w:eastAsiaTheme="minorEastAsia"/>
          <w:b/>
          <w:bCs/>
          <w:color w:val="000000" w:themeColor="text1"/>
          <w:kern w:val="0"/>
          <w14:ligatures w14:val="none"/>
        </w:rPr>
      </w:pPr>
      <w:r w:rsidRPr="00E74796">
        <w:rPr>
          <w:rFonts w:eastAsiaTheme="minorEastAsia"/>
          <w:b/>
          <w:bCs/>
          <w:color w:val="000000" w:themeColor="text1"/>
          <w:kern w:val="0"/>
          <w14:ligatures w14:val="none"/>
        </w:rPr>
        <w:t>Áreas para el manejo ambiental sostenible y el aprovechamiento de la biodiversidad. </w:t>
      </w:r>
      <w:r w:rsidRPr="00E74796">
        <w:rPr>
          <w:rFonts w:eastAsiaTheme="minorEastAsia"/>
          <w:color w:val="000000" w:themeColor="text1"/>
          <w:kern w:val="0"/>
          <w14:ligatures w14:val="none"/>
        </w:rPr>
        <w:t>Aquellas que desarrollen economías basadas en la biodiversidad, tales como turismo de naturaleza, agrosilvopastoriles, agroforestería, agroalimentario; para áreas con una oferta media de servicios ecosistémicos para un manejo ambiental y que requieren acciones de recuperación, rehabilitación o restauración ecológica, con fines de manejo ambiental para mantener una alta oferta de servicios ecosistémicos o de manejo ambiental de uso sostenible para el aprovechamiento de la biodiversidad.</w:t>
      </w:r>
    </w:p>
    <w:p w14:paraId="14B01244" w14:textId="01EBD608" w:rsidR="009D7B7B" w:rsidRPr="00E74796" w:rsidRDefault="00895974" w:rsidP="00895974">
      <w:pPr>
        <w:numPr>
          <w:ilvl w:val="0"/>
          <w:numId w:val="32"/>
        </w:numPr>
        <w:jc w:val="both"/>
        <w:rPr>
          <w:rFonts w:eastAsiaTheme="minorEastAsia"/>
          <w:b/>
          <w:bCs/>
          <w:color w:val="000000" w:themeColor="text1"/>
          <w:kern w:val="0"/>
          <w14:ligatures w14:val="none"/>
        </w:rPr>
      </w:pPr>
      <w:r w:rsidRPr="00E74796">
        <w:rPr>
          <w:rFonts w:eastAsiaTheme="minorEastAsia"/>
          <w:b/>
          <w:bCs/>
          <w:color w:val="000000" w:themeColor="text1"/>
          <w:kern w:val="0"/>
          <w14:ligatures w14:val="none"/>
        </w:rPr>
        <w:t xml:space="preserve">Áreas de manejo ambiental de restauración. </w:t>
      </w:r>
      <w:r w:rsidRPr="00E74796">
        <w:rPr>
          <w:rFonts w:eastAsiaTheme="minorEastAsia"/>
          <w:color w:val="000000" w:themeColor="text1"/>
          <w:kern w:val="0"/>
          <w14:ligatures w14:val="none"/>
        </w:rPr>
        <w:t xml:space="preserve">Aquellas que restauren ecosistemas para incrementar el valor ecológico y la alta oferta de servicios ecosistémicos o para desarrollar economías basadas en la biodiversidad. Para áreas con una oferta media y baja de servicios ecosistémicos para el manejo sostenible de los recursos forestales, de la biodiversidad y actividades relacionadas con la Agricultura Campesina, Familiar y </w:t>
      </w:r>
      <w:r w:rsidRPr="00E74796">
        <w:rPr>
          <w:rFonts w:eastAsiaTheme="minorEastAsia"/>
          <w:color w:val="000000" w:themeColor="text1"/>
          <w:kern w:val="0"/>
          <w14:ligatures w14:val="none"/>
        </w:rPr>
        <w:lastRenderedPageBreak/>
        <w:t xml:space="preserve">Comunitaria, bajo sistemas que incorporen el componente forestal tales como sistemas agroforestales, silvopastoriles, de producción limpia y demás políticas y normativa </w:t>
      </w:r>
      <w:proofErr w:type="spellStart"/>
      <w:r w:rsidR="009D7B7B" w:rsidRPr="00E74796">
        <w:rPr>
          <w:rFonts w:eastAsiaTheme="minorEastAsia"/>
          <w:color w:val="000000" w:themeColor="text1"/>
          <w:kern w:val="0"/>
          <w14:ligatures w14:val="none"/>
        </w:rPr>
        <w:t>applicable</w:t>
      </w:r>
      <w:proofErr w:type="spellEnd"/>
      <w:r w:rsidR="009D7B7B" w:rsidRPr="00E74796">
        <w:rPr>
          <w:rFonts w:eastAsiaTheme="minorEastAsia"/>
          <w:color w:val="000000" w:themeColor="text1"/>
          <w:kern w:val="0"/>
          <w14:ligatures w14:val="none"/>
        </w:rPr>
        <w:t>.</w:t>
      </w:r>
    </w:p>
    <w:p w14:paraId="6AFA8BCD" w14:textId="689419D6" w:rsidR="00895974" w:rsidRPr="00E74796" w:rsidRDefault="00895974" w:rsidP="00E74796">
      <w:pPr>
        <w:numPr>
          <w:ilvl w:val="0"/>
          <w:numId w:val="32"/>
        </w:numPr>
        <w:jc w:val="both"/>
        <w:rPr>
          <w:rFonts w:eastAsiaTheme="minorEastAsia"/>
          <w:b/>
          <w:bCs/>
          <w:color w:val="000000" w:themeColor="text1"/>
          <w:kern w:val="0"/>
          <w14:ligatures w14:val="none"/>
        </w:rPr>
      </w:pPr>
      <w:r w:rsidRPr="00E74796">
        <w:rPr>
          <w:rFonts w:eastAsiaTheme="minorEastAsia"/>
          <w:b/>
          <w:bCs/>
          <w:color w:val="000000" w:themeColor="text1"/>
          <w:kern w:val="0"/>
          <w14:ligatures w14:val="none"/>
        </w:rPr>
        <w:t xml:space="preserve">Áreas para el manejo ambiental sostenible y el desarrollo. </w:t>
      </w:r>
      <w:r w:rsidRPr="00E74796">
        <w:rPr>
          <w:rFonts w:eastAsiaTheme="minorEastAsia"/>
          <w:color w:val="000000" w:themeColor="text1"/>
          <w:kern w:val="0"/>
          <w14:ligatures w14:val="none"/>
        </w:rPr>
        <w:t>Usos y actividades de agricultura campesina, familia y comunitaria, sin ampliar la frontera agrícola, para áreas con una oferta baja de servicios ecosistémicos que permiten actividades productivas sostenibles, bajo sistemas que incorporen el componente forestal tales como sistemas agroforestales, silvopastoriles y/o con manejo agroambiental, resiliente y de producción limpia</w:t>
      </w:r>
    </w:p>
    <w:p w14:paraId="4338F2A1" w14:textId="04FBD7EF" w:rsidR="22DF84DA" w:rsidRPr="00FC5B6A" w:rsidRDefault="00895974" w:rsidP="1A24BF23">
      <w:pPr>
        <w:spacing w:after="0"/>
      </w:pPr>
      <w:r w:rsidRPr="00E74796">
        <w:rPr>
          <w:rFonts w:eastAsiaTheme="minorEastAsia"/>
          <w:b/>
          <w:bCs/>
          <w:color w:val="000000" w:themeColor="text1"/>
          <w:kern w:val="0"/>
          <w14:ligatures w14:val="none"/>
        </w:rPr>
        <w:t> </w:t>
      </w:r>
    </w:p>
    <w:p w14:paraId="500B3628" w14:textId="1964660F" w:rsidR="22DF84DA" w:rsidRPr="00FC5B6A" w:rsidRDefault="22DF84DA" w:rsidP="1A24BF23">
      <w:pPr>
        <w:pStyle w:val="Prrafodelista"/>
        <w:ind w:hanging="360"/>
        <w:rPr>
          <w:rFonts w:ascii="Verdana" w:eastAsia="Verdana" w:hAnsi="Verdana" w:cs="Verdana"/>
        </w:rPr>
      </w:pPr>
    </w:p>
    <w:p w14:paraId="44A24D43" w14:textId="41242CA6" w:rsidR="22DF84DA" w:rsidRPr="00FC5B6A" w:rsidRDefault="22DF84DA" w:rsidP="1A24BF23">
      <w:pPr>
        <w:pStyle w:val="FIGYTAB"/>
      </w:pPr>
      <w:r w:rsidRPr="00FC5B6A">
        <w:t xml:space="preserve">Figura </w:t>
      </w:r>
      <w:r w:rsidR="000C325D" w:rsidRPr="00FC5B6A">
        <w:rPr>
          <w:rFonts w:cstheme="minorHAnsi"/>
          <w:bCs w:val="0"/>
          <w:sz w:val="20"/>
          <w:szCs w:val="16"/>
        </w:rPr>
        <w:fldChar w:fldCharType="begin"/>
      </w:r>
      <w:r w:rsidR="000C325D" w:rsidRPr="00FC5B6A">
        <w:rPr>
          <w:rFonts w:cstheme="minorHAnsi"/>
          <w:sz w:val="20"/>
          <w:szCs w:val="16"/>
        </w:rPr>
        <w:instrText xml:space="preserve"> SEQ Figura_ \* ARABIC </w:instrText>
      </w:r>
      <w:r w:rsidR="000C325D" w:rsidRPr="00FC5B6A">
        <w:rPr>
          <w:rFonts w:cstheme="minorHAnsi"/>
          <w:bCs w:val="0"/>
          <w:sz w:val="20"/>
          <w:szCs w:val="16"/>
        </w:rPr>
        <w:fldChar w:fldCharType="separate"/>
      </w:r>
      <w:r w:rsidR="000C325D">
        <w:rPr>
          <w:rFonts w:cstheme="minorHAnsi"/>
          <w:noProof/>
          <w:sz w:val="20"/>
          <w:szCs w:val="16"/>
        </w:rPr>
        <w:t>10</w:t>
      </w:r>
      <w:r w:rsidR="000C325D" w:rsidRPr="00FC5B6A">
        <w:rPr>
          <w:rFonts w:cstheme="minorHAnsi"/>
          <w:bCs w:val="0"/>
          <w:sz w:val="20"/>
          <w:szCs w:val="16"/>
        </w:rPr>
        <w:fldChar w:fldCharType="end"/>
      </w:r>
      <w:r w:rsidRPr="00FC5B6A">
        <w:t>. Resultado de la zonificación para el área de la Reserva Forestal del Cocuy</w:t>
      </w:r>
    </w:p>
    <w:p w14:paraId="71BEA851" w14:textId="2FAABD93" w:rsidR="22DF84DA" w:rsidRPr="00FC5B6A" w:rsidRDefault="0008427E" w:rsidP="1A24BF23">
      <w:pPr>
        <w:jc w:val="both"/>
      </w:pPr>
      <w:r>
        <w:rPr>
          <w:noProof/>
        </w:rPr>
        <w:lastRenderedPageBreak/>
        <w:drawing>
          <wp:inline distT="0" distB="0" distL="0" distR="0" wp14:anchorId="44378080" wp14:editId="61BF97B3">
            <wp:extent cx="5612130" cy="7938135"/>
            <wp:effectExtent l="0" t="0" r="762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6" cstate="email">
                      <a:extLst>
                        <a:ext uri="{28A0092B-C50C-407E-A947-70E740481C1C}">
                          <a14:useLocalDpi xmlns:a14="http://schemas.microsoft.com/office/drawing/2010/main"/>
                        </a:ext>
                      </a:extLst>
                    </a:blip>
                    <a:stretch>
                      <a:fillRect/>
                    </a:stretch>
                  </pic:blipFill>
                  <pic:spPr>
                    <a:xfrm>
                      <a:off x="0" y="0"/>
                      <a:ext cx="5612130" cy="7938135"/>
                    </a:xfrm>
                    <a:prstGeom prst="rect">
                      <a:avLst/>
                    </a:prstGeom>
                  </pic:spPr>
                </pic:pic>
              </a:graphicData>
            </a:graphic>
          </wp:inline>
        </w:drawing>
      </w:r>
    </w:p>
    <w:p w14:paraId="27FB4550" w14:textId="7711A2D9" w:rsidR="00DA0E97" w:rsidRPr="00FC5B6A" w:rsidRDefault="00DA0E97" w:rsidP="1A24BF23">
      <w:pPr>
        <w:pStyle w:val="Descripcin"/>
        <w:rPr>
          <w:b/>
          <w:bCs/>
        </w:rPr>
      </w:pPr>
      <w:bookmarkStart w:id="109" w:name="_Ref167533951"/>
    </w:p>
    <w:p w14:paraId="72D9724D" w14:textId="2F77BCB4" w:rsidR="00D04666" w:rsidRDefault="008B4153" w:rsidP="1A24BF23">
      <w:pPr>
        <w:keepNext/>
        <w:spacing w:after="0" w:line="276" w:lineRule="auto"/>
        <w:ind w:left="360"/>
        <w:jc w:val="center"/>
        <w:rPr>
          <w:sz w:val="20"/>
          <w:szCs w:val="20"/>
        </w:rPr>
      </w:pPr>
      <w:bookmarkStart w:id="110" w:name="_Toc170133243"/>
      <w:r w:rsidRPr="00FC5B6A">
        <w:rPr>
          <w:sz w:val="20"/>
          <w:szCs w:val="20"/>
        </w:rPr>
        <w:t>Figura</w:t>
      </w:r>
      <w:r w:rsidR="736C1EA4" w:rsidRPr="00FC5B6A">
        <w:rPr>
          <w:sz w:val="20"/>
          <w:szCs w:val="20"/>
        </w:rPr>
        <w:t xml:space="preserve"> </w:t>
      </w:r>
      <w:bookmarkEnd w:id="109"/>
      <w:r w:rsidRPr="00FC5B6A">
        <w:rPr>
          <w:sz w:val="20"/>
          <w:szCs w:val="20"/>
        </w:rPr>
        <w:t xml:space="preserve"> </w:t>
      </w:r>
      <w:r w:rsidR="000C325D" w:rsidRPr="00FC5B6A">
        <w:rPr>
          <w:rFonts w:cstheme="minorHAnsi"/>
          <w:bCs/>
          <w:sz w:val="20"/>
          <w:szCs w:val="16"/>
        </w:rPr>
        <w:fldChar w:fldCharType="begin"/>
      </w:r>
      <w:r w:rsidR="000C325D" w:rsidRPr="00FC5B6A">
        <w:rPr>
          <w:rFonts w:cstheme="minorHAnsi"/>
          <w:bCs/>
          <w:sz w:val="20"/>
          <w:szCs w:val="16"/>
        </w:rPr>
        <w:instrText xml:space="preserve"> SEQ Figura_ \* ARABIC </w:instrText>
      </w:r>
      <w:r w:rsidR="000C325D" w:rsidRPr="00FC5B6A">
        <w:rPr>
          <w:rFonts w:cstheme="minorHAnsi"/>
          <w:bCs/>
          <w:sz w:val="20"/>
          <w:szCs w:val="16"/>
        </w:rPr>
        <w:fldChar w:fldCharType="separate"/>
      </w:r>
      <w:r w:rsidR="000C325D">
        <w:rPr>
          <w:rFonts w:cstheme="minorHAnsi"/>
          <w:bCs/>
          <w:noProof/>
          <w:sz w:val="20"/>
          <w:szCs w:val="16"/>
        </w:rPr>
        <w:t>9</w:t>
      </w:r>
      <w:r w:rsidR="000C325D" w:rsidRPr="00FC5B6A">
        <w:rPr>
          <w:rFonts w:cstheme="minorHAnsi"/>
          <w:bCs/>
          <w:sz w:val="20"/>
          <w:szCs w:val="16"/>
        </w:rPr>
        <w:fldChar w:fldCharType="end"/>
      </w:r>
      <w:r w:rsidR="000C325D">
        <w:rPr>
          <w:rFonts w:cstheme="minorHAnsi"/>
          <w:bCs/>
          <w:sz w:val="20"/>
          <w:szCs w:val="16"/>
        </w:rPr>
        <w:t xml:space="preserve"> </w:t>
      </w:r>
      <w:r w:rsidR="00B41B9E">
        <w:rPr>
          <w:sz w:val="20"/>
          <w:szCs w:val="20"/>
        </w:rPr>
        <w:t>Acciones para</w:t>
      </w:r>
      <w:r w:rsidRPr="00FC5B6A">
        <w:rPr>
          <w:sz w:val="20"/>
          <w:szCs w:val="20"/>
        </w:rPr>
        <w:t xml:space="preserve"> </w:t>
      </w:r>
      <w:r w:rsidR="00B41B9E">
        <w:rPr>
          <w:sz w:val="20"/>
          <w:szCs w:val="20"/>
        </w:rPr>
        <w:t xml:space="preserve">el </w:t>
      </w:r>
      <w:r w:rsidRPr="00FC5B6A">
        <w:rPr>
          <w:sz w:val="20"/>
          <w:szCs w:val="20"/>
        </w:rPr>
        <w:t>Manejo Ambiental con respecto a los Tipos de Zonificación Ley 2 de 1959</w:t>
      </w:r>
      <w:bookmarkEnd w:id="110"/>
      <w:r w:rsidR="008C1A46" w:rsidRPr="00FC5B6A">
        <w:rPr>
          <w:sz w:val="20"/>
          <w:szCs w:val="20"/>
        </w:rPr>
        <w:t xml:space="preserve"> sin Previa Decisión de Ordenamiento</w:t>
      </w:r>
    </w:p>
    <w:p w14:paraId="1F8F1A96" w14:textId="0639FBFB" w:rsidR="00A14452" w:rsidRDefault="00A14452" w:rsidP="1A24BF23">
      <w:pPr>
        <w:keepNext/>
        <w:spacing w:after="0" w:line="276" w:lineRule="auto"/>
        <w:ind w:left="360"/>
        <w:jc w:val="center"/>
        <w:rPr>
          <w:sz w:val="20"/>
          <w:szCs w:val="20"/>
        </w:rPr>
      </w:pPr>
    </w:p>
    <w:tbl>
      <w:tblPr>
        <w:tblW w:w="5000" w:type="pct"/>
        <w:tblCellMar>
          <w:left w:w="70" w:type="dxa"/>
          <w:right w:w="70" w:type="dxa"/>
        </w:tblCellMar>
        <w:tblLook w:val="04A0" w:firstRow="1" w:lastRow="0" w:firstColumn="1" w:lastColumn="0" w:noHBand="0" w:noVBand="1"/>
      </w:tblPr>
      <w:tblGrid>
        <w:gridCol w:w="868"/>
        <w:gridCol w:w="2332"/>
        <w:gridCol w:w="763"/>
        <w:gridCol w:w="184"/>
        <w:gridCol w:w="1227"/>
        <w:gridCol w:w="1087"/>
        <w:gridCol w:w="1446"/>
        <w:gridCol w:w="921"/>
      </w:tblGrid>
      <w:tr w:rsidR="00A14452" w:rsidRPr="00A14452" w14:paraId="24A7FF05" w14:textId="77777777" w:rsidTr="00A14452">
        <w:trPr>
          <w:trHeight w:val="288"/>
        </w:trPr>
        <w:tc>
          <w:tcPr>
            <w:tcW w:w="2258" w:type="pct"/>
            <w:gridSpan w:val="3"/>
            <w:tcBorders>
              <w:top w:val="single" w:sz="4" w:space="0" w:color="auto"/>
              <w:left w:val="single" w:sz="4" w:space="0" w:color="auto"/>
              <w:bottom w:val="nil"/>
              <w:right w:val="single" w:sz="4" w:space="0" w:color="000000"/>
            </w:tcBorders>
            <w:noWrap/>
            <w:vAlign w:val="bottom"/>
            <w:hideMark/>
          </w:tcPr>
          <w:p w14:paraId="220BCFEC" w14:textId="77777777" w:rsidR="00A14452" w:rsidRPr="00A14452" w:rsidRDefault="00A14452" w:rsidP="00A14452">
            <w:pPr>
              <w:spacing w:after="0" w:line="240" w:lineRule="auto"/>
              <w:jc w:val="center"/>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 xml:space="preserve">Resolución 1275 de 2014 </w:t>
            </w:r>
          </w:p>
        </w:tc>
        <w:tc>
          <w:tcPr>
            <w:tcW w:w="49" w:type="pct"/>
            <w:tcBorders>
              <w:top w:val="single" w:sz="4" w:space="0" w:color="auto"/>
              <w:left w:val="nil"/>
              <w:bottom w:val="nil"/>
              <w:right w:val="nil"/>
            </w:tcBorders>
            <w:shd w:val="clear" w:color="000000" w:fill="000000"/>
            <w:noWrap/>
            <w:vAlign w:val="bottom"/>
            <w:hideMark/>
          </w:tcPr>
          <w:p w14:paraId="3A345A51" w14:textId="77777777" w:rsidR="00A14452" w:rsidRPr="00A14452" w:rsidRDefault="00A14452" w:rsidP="00A14452">
            <w:pPr>
              <w:spacing w:after="0" w:line="240" w:lineRule="auto"/>
              <w:jc w:val="center"/>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 </w:t>
            </w:r>
          </w:p>
        </w:tc>
        <w:tc>
          <w:tcPr>
            <w:tcW w:w="2694" w:type="pct"/>
            <w:gridSpan w:val="4"/>
            <w:tcBorders>
              <w:top w:val="single" w:sz="4" w:space="0" w:color="auto"/>
              <w:left w:val="single" w:sz="4" w:space="0" w:color="auto"/>
              <w:bottom w:val="single" w:sz="4" w:space="0" w:color="auto"/>
              <w:right w:val="single" w:sz="4" w:space="0" w:color="000000"/>
            </w:tcBorders>
            <w:noWrap/>
            <w:vAlign w:val="bottom"/>
            <w:hideMark/>
          </w:tcPr>
          <w:p w14:paraId="05799724" w14:textId="776B9D87" w:rsidR="00A14452" w:rsidRPr="00A14452" w:rsidRDefault="00A14452" w:rsidP="00A14452">
            <w:pPr>
              <w:spacing w:after="0" w:line="240" w:lineRule="auto"/>
              <w:jc w:val="center"/>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 xml:space="preserve"> Propuesta normativa 2026 </w:t>
            </w:r>
          </w:p>
        </w:tc>
      </w:tr>
      <w:tr w:rsidR="00A14452" w:rsidRPr="00A14452" w14:paraId="75DE2509" w14:textId="77777777" w:rsidTr="00A14452">
        <w:trPr>
          <w:trHeight w:val="1380"/>
        </w:trPr>
        <w:tc>
          <w:tcPr>
            <w:tcW w:w="469" w:type="pct"/>
            <w:tcBorders>
              <w:top w:val="single" w:sz="4" w:space="0" w:color="auto"/>
              <w:left w:val="single" w:sz="4" w:space="0" w:color="auto"/>
              <w:bottom w:val="single" w:sz="4" w:space="0" w:color="auto"/>
              <w:right w:val="single" w:sz="4" w:space="0" w:color="auto"/>
            </w:tcBorders>
            <w:noWrap/>
            <w:vAlign w:val="bottom"/>
            <w:hideMark/>
          </w:tcPr>
          <w:p w14:paraId="5BEF2C78" w14:textId="77777777" w:rsidR="00A14452" w:rsidRPr="00A14452" w:rsidRDefault="00A14452" w:rsidP="00A14452">
            <w:pPr>
              <w:spacing w:after="0" w:line="240" w:lineRule="auto"/>
              <w:rPr>
                <w:rFonts w:ascii="Arial" w:eastAsia="Times New Roman" w:hAnsi="Arial" w:cs="Arial"/>
                <w:b/>
                <w:bCs/>
                <w:color w:val="000000"/>
                <w:kern w:val="0"/>
                <w:sz w:val="16"/>
                <w:szCs w:val="16"/>
                <w:lang w:val="es-ES" w:eastAsia="es-ES"/>
                <w14:ligatures w14:val="none"/>
              </w:rPr>
            </w:pPr>
            <w:proofErr w:type="spellStart"/>
            <w:r w:rsidRPr="00A14452">
              <w:rPr>
                <w:rFonts w:ascii="Arial" w:eastAsia="Times New Roman" w:hAnsi="Arial" w:cs="Arial"/>
                <w:b/>
                <w:bCs/>
                <w:color w:val="000000"/>
                <w:kern w:val="0"/>
                <w:sz w:val="16"/>
                <w:szCs w:val="16"/>
                <w:lang w:val="es-ES" w:eastAsia="es-ES"/>
                <w14:ligatures w14:val="none"/>
              </w:rPr>
              <w:t>Categoria</w:t>
            </w:r>
            <w:proofErr w:type="spellEnd"/>
          </w:p>
        </w:tc>
        <w:tc>
          <w:tcPr>
            <w:tcW w:w="1385" w:type="pct"/>
            <w:tcBorders>
              <w:top w:val="single" w:sz="4" w:space="0" w:color="auto"/>
              <w:left w:val="nil"/>
              <w:bottom w:val="single" w:sz="4" w:space="0" w:color="auto"/>
              <w:right w:val="single" w:sz="4" w:space="0" w:color="auto"/>
            </w:tcBorders>
            <w:noWrap/>
            <w:vAlign w:val="bottom"/>
            <w:hideMark/>
          </w:tcPr>
          <w:p w14:paraId="0189E6A4" w14:textId="77777777" w:rsidR="00A14452" w:rsidRPr="00A14452" w:rsidRDefault="00A14452" w:rsidP="00A14452">
            <w:pPr>
              <w:spacing w:after="0" w:line="240" w:lineRule="auto"/>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 xml:space="preserve"> </w:t>
            </w:r>
            <w:proofErr w:type="gramStart"/>
            <w:r w:rsidRPr="00A14452">
              <w:rPr>
                <w:rFonts w:ascii="Arial" w:eastAsia="Times New Roman" w:hAnsi="Arial" w:cs="Arial"/>
                <w:b/>
                <w:bCs/>
                <w:color w:val="000000"/>
                <w:kern w:val="0"/>
                <w:sz w:val="16"/>
                <w:szCs w:val="16"/>
                <w:lang w:val="es-ES" w:eastAsia="es-ES"/>
                <w14:ligatures w14:val="none"/>
              </w:rPr>
              <w:t>Total</w:t>
            </w:r>
            <w:proofErr w:type="gramEnd"/>
            <w:r w:rsidRPr="00A14452">
              <w:rPr>
                <w:rFonts w:ascii="Arial" w:eastAsia="Times New Roman" w:hAnsi="Arial" w:cs="Arial"/>
                <w:b/>
                <w:bCs/>
                <w:color w:val="000000"/>
                <w:kern w:val="0"/>
                <w:sz w:val="16"/>
                <w:szCs w:val="16"/>
                <w:lang w:val="es-ES" w:eastAsia="es-ES"/>
                <w14:ligatures w14:val="none"/>
              </w:rPr>
              <w:t xml:space="preserve"> áreas (hectareas) </w:t>
            </w:r>
          </w:p>
        </w:tc>
        <w:tc>
          <w:tcPr>
            <w:tcW w:w="403" w:type="pct"/>
            <w:tcBorders>
              <w:top w:val="single" w:sz="4" w:space="0" w:color="auto"/>
              <w:left w:val="nil"/>
              <w:bottom w:val="single" w:sz="4" w:space="0" w:color="auto"/>
              <w:right w:val="single" w:sz="4" w:space="0" w:color="auto"/>
            </w:tcBorders>
            <w:noWrap/>
            <w:vAlign w:val="bottom"/>
            <w:hideMark/>
          </w:tcPr>
          <w:p w14:paraId="2261DC66" w14:textId="77777777" w:rsidR="00A14452" w:rsidRPr="00A14452" w:rsidRDefault="00A14452" w:rsidP="00A14452">
            <w:pPr>
              <w:spacing w:after="0" w:line="240" w:lineRule="auto"/>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 xml:space="preserve"> % </w:t>
            </w:r>
          </w:p>
        </w:tc>
        <w:tc>
          <w:tcPr>
            <w:tcW w:w="49" w:type="pct"/>
            <w:tcBorders>
              <w:top w:val="nil"/>
              <w:left w:val="nil"/>
              <w:bottom w:val="single" w:sz="4" w:space="0" w:color="auto"/>
              <w:right w:val="single" w:sz="4" w:space="0" w:color="auto"/>
            </w:tcBorders>
            <w:shd w:val="clear" w:color="000000" w:fill="000000"/>
            <w:noWrap/>
            <w:vAlign w:val="bottom"/>
            <w:hideMark/>
          </w:tcPr>
          <w:p w14:paraId="1F50FF16" w14:textId="77777777" w:rsidR="00A14452" w:rsidRPr="00A14452" w:rsidRDefault="00A14452" w:rsidP="00A14452">
            <w:pPr>
              <w:spacing w:after="0" w:line="240" w:lineRule="auto"/>
              <w:jc w:val="center"/>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 </w:t>
            </w:r>
          </w:p>
        </w:tc>
        <w:tc>
          <w:tcPr>
            <w:tcW w:w="765" w:type="pct"/>
            <w:tcBorders>
              <w:top w:val="nil"/>
              <w:left w:val="nil"/>
              <w:bottom w:val="single" w:sz="4" w:space="0" w:color="auto"/>
              <w:right w:val="single" w:sz="4" w:space="0" w:color="auto"/>
            </w:tcBorders>
            <w:shd w:val="clear" w:color="000000" w:fill="00B050"/>
            <w:vAlign w:val="bottom"/>
            <w:hideMark/>
          </w:tcPr>
          <w:p w14:paraId="0156BFA8" w14:textId="76873242" w:rsidR="00A14452" w:rsidRPr="00A14452" w:rsidRDefault="00A14452" w:rsidP="00A14452">
            <w:pPr>
              <w:spacing w:after="0" w:line="240" w:lineRule="auto"/>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áreas de manejo ambiental con un</w:t>
            </w:r>
            <w:r>
              <w:rPr>
                <w:rFonts w:ascii="Arial" w:eastAsia="Times New Roman" w:hAnsi="Arial" w:cs="Arial"/>
                <w:b/>
                <w:bCs/>
                <w:color w:val="000000"/>
                <w:kern w:val="0"/>
                <w:sz w:val="16"/>
                <w:szCs w:val="16"/>
                <w:lang w:val="es-ES" w:eastAsia="es-ES"/>
                <w14:ligatures w14:val="none"/>
              </w:rPr>
              <w:t>a</w:t>
            </w:r>
            <w:r w:rsidRPr="00A14452">
              <w:rPr>
                <w:rFonts w:ascii="Arial" w:eastAsia="Times New Roman" w:hAnsi="Arial" w:cs="Arial"/>
                <w:b/>
                <w:bCs/>
                <w:color w:val="000000"/>
                <w:kern w:val="0"/>
                <w:sz w:val="16"/>
                <w:szCs w:val="16"/>
                <w:lang w:val="es-ES" w:eastAsia="es-ES"/>
                <w14:ligatures w14:val="none"/>
              </w:rPr>
              <w:t xml:space="preserve"> alta oferta de servicios ecosistémicos</w:t>
            </w:r>
          </w:p>
        </w:tc>
        <w:tc>
          <w:tcPr>
            <w:tcW w:w="765" w:type="pct"/>
            <w:tcBorders>
              <w:top w:val="nil"/>
              <w:left w:val="nil"/>
              <w:bottom w:val="single" w:sz="4" w:space="0" w:color="auto"/>
              <w:right w:val="single" w:sz="4" w:space="0" w:color="auto"/>
            </w:tcBorders>
            <w:shd w:val="clear" w:color="000000" w:fill="92D050"/>
            <w:vAlign w:val="bottom"/>
            <w:hideMark/>
          </w:tcPr>
          <w:p w14:paraId="780344E4" w14:textId="77777777" w:rsidR="00A14452" w:rsidRPr="00A14452" w:rsidRDefault="00A14452" w:rsidP="00A14452">
            <w:pPr>
              <w:spacing w:after="0" w:line="240" w:lineRule="auto"/>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 xml:space="preserve">áreas de manejo ambiental de restauración </w:t>
            </w:r>
          </w:p>
        </w:tc>
        <w:tc>
          <w:tcPr>
            <w:tcW w:w="765" w:type="pct"/>
            <w:tcBorders>
              <w:top w:val="nil"/>
              <w:left w:val="nil"/>
              <w:bottom w:val="single" w:sz="4" w:space="0" w:color="auto"/>
              <w:right w:val="single" w:sz="4" w:space="0" w:color="auto"/>
            </w:tcBorders>
            <w:shd w:val="clear" w:color="000000" w:fill="FFC000"/>
            <w:vAlign w:val="bottom"/>
            <w:hideMark/>
          </w:tcPr>
          <w:p w14:paraId="3076D182" w14:textId="77777777" w:rsidR="00A14452" w:rsidRPr="00A14452" w:rsidRDefault="00A14452" w:rsidP="00A14452">
            <w:pPr>
              <w:spacing w:after="0" w:line="240" w:lineRule="auto"/>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área para el manejo ambiental sostenible y el aprovechamiento de la biodiversidad</w:t>
            </w:r>
          </w:p>
        </w:tc>
        <w:tc>
          <w:tcPr>
            <w:tcW w:w="397" w:type="pct"/>
            <w:tcBorders>
              <w:top w:val="nil"/>
              <w:left w:val="nil"/>
              <w:bottom w:val="single" w:sz="4" w:space="0" w:color="auto"/>
              <w:right w:val="single" w:sz="4" w:space="0" w:color="auto"/>
            </w:tcBorders>
            <w:shd w:val="clear" w:color="000000" w:fill="FF66CC"/>
            <w:vAlign w:val="bottom"/>
            <w:hideMark/>
          </w:tcPr>
          <w:p w14:paraId="59503A6C" w14:textId="77777777" w:rsidR="00A14452" w:rsidRPr="00A14452" w:rsidRDefault="00A14452" w:rsidP="00A14452">
            <w:pPr>
              <w:spacing w:after="0" w:line="240" w:lineRule="auto"/>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áreas para el manejo ambiental sostenible y el desarrollo</w:t>
            </w:r>
          </w:p>
        </w:tc>
      </w:tr>
      <w:tr w:rsidR="00A14452" w:rsidRPr="00A14452" w14:paraId="293D2726" w14:textId="77777777" w:rsidTr="00A14452">
        <w:trPr>
          <w:trHeight w:val="276"/>
        </w:trPr>
        <w:tc>
          <w:tcPr>
            <w:tcW w:w="469" w:type="pct"/>
            <w:tcBorders>
              <w:top w:val="nil"/>
              <w:left w:val="single" w:sz="4" w:space="0" w:color="auto"/>
              <w:bottom w:val="single" w:sz="4" w:space="0" w:color="auto"/>
              <w:right w:val="single" w:sz="4" w:space="0" w:color="auto"/>
            </w:tcBorders>
            <w:shd w:val="clear" w:color="000000" w:fill="00B050"/>
            <w:noWrap/>
            <w:vAlign w:val="bottom"/>
            <w:hideMark/>
          </w:tcPr>
          <w:p w14:paraId="663FC85F" w14:textId="77777777" w:rsidR="00A14452" w:rsidRPr="00A14452" w:rsidRDefault="00A14452" w:rsidP="00A14452">
            <w:pPr>
              <w:spacing w:after="0" w:line="240" w:lineRule="auto"/>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Tipo A</w:t>
            </w:r>
          </w:p>
        </w:tc>
        <w:tc>
          <w:tcPr>
            <w:tcW w:w="1385" w:type="pct"/>
            <w:tcBorders>
              <w:top w:val="nil"/>
              <w:left w:val="nil"/>
              <w:bottom w:val="single" w:sz="4" w:space="0" w:color="auto"/>
              <w:right w:val="single" w:sz="4" w:space="0" w:color="auto"/>
            </w:tcBorders>
            <w:noWrap/>
            <w:vAlign w:val="bottom"/>
            <w:hideMark/>
          </w:tcPr>
          <w:p w14:paraId="37F6D953"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119.161,40 </w:t>
            </w:r>
          </w:p>
        </w:tc>
        <w:tc>
          <w:tcPr>
            <w:tcW w:w="403" w:type="pct"/>
            <w:tcBorders>
              <w:top w:val="nil"/>
              <w:left w:val="nil"/>
              <w:bottom w:val="single" w:sz="4" w:space="0" w:color="auto"/>
              <w:right w:val="single" w:sz="4" w:space="0" w:color="auto"/>
            </w:tcBorders>
            <w:noWrap/>
            <w:vAlign w:val="bottom"/>
            <w:hideMark/>
          </w:tcPr>
          <w:p w14:paraId="13FC25D0" w14:textId="77777777" w:rsidR="00A14452" w:rsidRPr="00A14452" w:rsidRDefault="00A14452" w:rsidP="00A14452">
            <w:pPr>
              <w:spacing w:after="0" w:line="240" w:lineRule="auto"/>
              <w:jc w:val="right"/>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54,53%</w:t>
            </w:r>
          </w:p>
        </w:tc>
        <w:tc>
          <w:tcPr>
            <w:tcW w:w="49" w:type="pct"/>
            <w:tcBorders>
              <w:top w:val="nil"/>
              <w:left w:val="nil"/>
              <w:bottom w:val="single" w:sz="4" w:space="0" w:color="auto"/>
              <w:right w:val="single" w:sz="4" w:space="0" w:color="auto"/>
            </w:tcBorders>
            <w:shd w:val="clear" w:color="000000" w:fill="000000"/>
            <w:noWrap/>
            <w:vAlign w:val="bottom"/>
            <w:hideMark/>
          </w:tcPr>
          <w:p w14:paraId="4B435C2D"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w:t>
            </w:r>
          </w:p>
        </w:tc>
        <w:tc>
          <w:tcPr>
            <w:tcW w:w="765" w:type="pct"/>
            <w:tcBorders>
              <w:top w:val="nil"/>
              <w:left w:val="nil"/>
              <w:bottom w:val="single" w:sz="4" w:space="0" w:color="auto"/>
              <w:right w:val="single" w:sz="4" w:space="0" w:color="auto"/>
            </w:tcBorders>
            <w:vAlign w:val="bottom"/>
            <w:hideMark/>
          </w:tcPr>
          <w:p w14:paraId="72340C5A"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17.317,20 </w:t>
            </w:r>
          </w:p>
        </w:tc>
        <w:tc>
          <w:tcPr>
            <w:tcW w:w="765" w:type="pct"/>
            <w:tcBorders>
              <w:top w:val="nil"/>
              <w:left w:val="nil"/>
              <w:bottom w:val="single" w:sz="4" w:space="0" w:color="auto"/>
              <w:right w:val="single" w:sz="4" w:space="0" w:color="auto"/>
            </w:tcBorders>
            <w:vAlign w:val="bottom"/>
            <w:hideMark/>
          </w:tcPr>
          <w:p w14:paraId="51CAC903"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35.580,90 </w:t>
            </w:r>
          </w:p>
        </w:tc>
        <w:tc>
          <w:tcPr>
            <w:tcW w:w="765" w:type="pct"/>
            <w:tcBorders>
              <w:top w:val="nil"/>
              <w:left w:val="nil"/>
              <w:bottom w:val="single" w:sz="4" w:space="0" w:color="auto"/>
              <w:right w:val="single" w:sz="4" w:space="0" w:color="auto"/>
            </w:tcBorders>
            <w:vAlign w:val="bottom"/>
            <w:hideMark/>
          </w:tcPr>
          <w:p w14:paraId="6B8E5CB7"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35.972,90 </w:t>
            </w:r>
          </w:p>
        </w:tc>
        <w:tc>
          <w:tcPr>
            <w:tcW w:w="397" w:type="pct"/>
            <w:tcBorders>
              <w:top w:val="nil"/>
              <w:left w:val="nil"/>
              <w:bottom w:val="single" w:sz="4" w:space="0" w:color="auto"/>
              <w:right w:val="single" w:sz="4" w:space="0" w:color="auto"/>
            </w:tcBorders>
            <w:vAlign w:val="bottom"/>
            <w:hideMark/>
          </w:tcPr>
          <w:p w14:paraId="4F87D682"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30.290,40 </w:t>
            </w:r>
          </w:p>
        </w:tc>
      </w:tr>
      <w:tr w:rsidR="00A14452" w:rsidRPr="00A14452" w14:paraId="741E3546" w14:textId="77777777" w:rsidTr="00A14452">
        <w:trPr>
          <w:trHeight w:val="276"/>
        </w:trPr>
        <w:tc>
          <w:tcPr>
            <w:tcW w:w="469" w:type="pct"/>
            <w:tcBorders>
              <w:top w:val="nil"/>
              <w:left w:val="single" w:sz="4" w:space="0" w:color="auto"/>
              <w:bottom w:val="single" w:sz="4" w:space="0" w:color="auto"/>
              <w:right w:val="single" w:sz="4" w:space="0" w:color="auto"/>
            </w:tcBorders>
            <w:shd w:val="clear" w:color="000000" w:fill="FFD966"/>
            <w:noWrap/>
            <w:vAlign w:val="bottom"/>
            <w:hideMark/>
          </w:tcPr>
          <w:p w14:paraId="2A13A231" w14:textId="77777777" w:rsidR="00A14452" w:rsidRPr="00A14452" w:rsidRDefault="00A14452" w:rsidP="00A14452">
            <w:pPr>
              <w:spacing w:after="0" w:line="240" w:lineRule="auto"/>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Tipo B</w:t>
            </w:r>
          </w:p>
        </w:tc>
        <w:tc>
          <w:tcPr>
            <w:tcW w:w="1385" w:type="pct"/>
            <w:tcBorders>
              <w:top w:val="nil"/>
              <w:left w:val="nil"/>
              <w:bottom w:val="single" w:sz="4" w:space="0" w:color="auto"/>
              <w:right w:val="single" w:sz="4" w:space="0" w:color="auto"/>
            </w:tcBorders>
            <w:noWrap/>
            <w:vAlign w:val="bottom"/>
            <w:hideMark/>
          </w:tcPr>
          <w:p w14:paraId="4E41ECEB"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21.277,81 </w:t>
            </w:r>
          </w:p>
        </w:tc>
        <w:tc>
          <w:tcPr>
            <w:tcW w:w="403" w:type="pct"/>
            <w:tcBorders>
              <w:top w:val="nil"/>
              <w:left w:val="nil"/>
              <w:bottom w:val="single" w:sz="4" w:space="0" w:color="auto"/>
              <w:right w:val="single" w:sz="4" w:space="0" w:color="auto"/>
            </w:tcBorders>
            <w:noWrap/>
            <w:vAlign w:val="bottom"/>
            <w:hideMark/>
          </w:tcPr>
          <w:p w14:paraId="522AD946" w14:textId="77777777" w:rsidR="00A14452" w:rsidRPr="00A14452" w:rsidRDefault="00A14452" w:rsidP="00A14452">
            <w:pPr>
              <w:spacing w:after="0" w:line="240" w:lineRule="auto"/>
              <w:jc w:val="right"/>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9,74%</w:t>
            </w:r>
          </w:p>
        </w:tc>
        <w:tc>
          <w:tcPr>
            <w:tcW w:w="49" w:type="pct"/>
            <w:tcBorders>
              <w:top w:val="nil"/>
              <w:left w:val="nil"/>
              <w:bottom w:val="single" w:sz="4" w:space="0" w:color="auto"/>
              <w:right w:val="single" w:sz="4" w:space="0" w:color="auto"/>
            </w:tcBorders>
            <w:shd w:val="clear" w:color="000000" w:fill="000000"/>
            <w:noWrap/>
            <w:vAlign w:val="bottom"/>
            <w:hideMark/>
          </w:tcPr>
          <w:p w14:paraId="50DE2D78"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w:t>
            </w:r>
          </w:p>
        </w:tc>
        <w:tc>
          <w:tcPr>
            <w:tcW w:w="765" w:type="pct"/>
            <w:tcBorders>
              <w:top w:val="nil"/>
              <w:left w:val="nil"/>
              <w:bottom w:val="single" w:sz="4" w:space="0" w:color="auto"/>
              <w:right w:val="single" w:sz="4" w:space="0" w:color="auto"/>
            </w:tcBorders>
            <w:vAlign w:val="bottom"/>
            <w:hideMark/>
          </w:tcPr>
          <w:p w14:paraId="768322AB"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235,85 </w:t>
            </w:r>
          </w:p>
        </w:tc>
        <w:tc>
          <w:tcPr>
            <w:tcW w:w="765" w:type="pct"/>
            <w:tcBorders>
              <w:top w:val="nil"/>
              <w:left w:val="nil"/>
              <w:bottom w:val="single" w:sz="4" w:space="0" w:color="auto"/>
              <w:right w:val="single" w:sz="4" w:space="0" w:color="auto"/>
            </w:tcBorders>
            <w:vAlign w:val="bottom"/>
            <w:hideMark/>
          </w:tcPr>
          <w:p w14:paraId="1FD5DE4D"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714,61 </w:t>
            </w:r>
          </w:p>
        </w:tc>
        <w:tc>
          <w:tcPr>
            <w:tcW w:w="765" w:type="pct"/>
            <w:tcBorders>
              <w:top w:val="nil"/>
              <w:left w:val="nil"/>
              <w:bottom w:val="single" w:sz="4" w:space="0" w:color="auto"/>
              <w:right w:val="single" w:sz="4" w:space="0" w:color="auto"/>
            </w:tcBorders>
            <w:vAlign w:val="bottom"/>
            <w:hideMark/>
          </w:tcPr>
          <w:p w14:paraId="6ABE0444"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10.395,30 </w:t>
            </w:r>
          </w:p>
        </w:tc>
        <w:tc>
          <w:tcPr>
            <w:tcW w:w="397" w:type="pct"/>
            <w:tcBorders>
              <w:top w:val="nil"/>
              <w:left w:val="nil"/>
              <w:bottom w:val="single" w:sz="4" w:space="0" w:color="auto"/>
              <w:right w:val="single" w:sz="4" w:space="0" w:color="auto"/>
            </w:tcBorders>
            <w:vAlign w:val="bottom"/>
            <w:hideMark/>
          </w:tcPr>
          <w:p w14:paraId="16B68BCF"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9.932,04 </w:t>
            </w:r>
          </w:p>
        </w:tc>
      </w:tr>
      <w:tr w:rsidR="00A14452" w:rsidRPr="00A14452" w14:paraId="288F8CAC" w14:textId="77777777" w:rsidTr="00A14452">
        <w:trPr>
          <w:trHeight w:val="276"/>
        </w:trPr>
        <w:tc>
          <w:tcPr>
            <w:tcW w:w="469" w:type="pct"/>
            <w:tcBorders>
              <w:top w:val="nil"/>
              <w:left w:val="single" w:sz="4" w:space="0" w:color="auto"/>
              <w:bottom w:val="single" w:sz="4" w:space="0" w:color="auto"/>
              <w:right w:val="single" w:sz="4" w:space="0" w:color="auto"/>
            </w:tcBorders>
            <w:shd w:val="clear" w:color="000000" w:fill="FFF2CC"/>
            <w:noWrap/>
            <w:vAlign w:val="bottom"/>
            <w:hideMark/>
          </w:tcPr>
          <w:p w14:paraId="45EEBDA8" w14:textId="77777777" w:rsidR="00A14452" w:rsidRPr="00A14452" w:rsidRDefault="00A14452" w:rsidP="00A14452">
            <w:pPr>
              <w:spacing w:after="0" w:line="240" w:lineRule="auto"/>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Tipo C</w:t>
            </w:r>
          </w:p>
        </w:tc>
        <w:tc>
          <w:tcPr>
            <w:tcW w:w="1385" w:type="pct"/>
            <w:tcBorders>
              <w:top w:val="nil"/>
              <w:left w:val="nil"/>
              <w:bottom w:val="single" w:sz="4" w:space="0" w:color="auto"/>
              <w:right w:val="single" w:sz="4" w:space="0" w:color="auto"/>
            </w:tcBorders>
            <w:noWrap/>
            <w:vAlign w:val="bottom"/>
            <w:hideMark/>
          </w:tcPr>
          <w:p w14:paraId="72EEC05A"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78.090,80 </w:t>
            </w:r>
          </w:p>
        </w:tc>
        <w:tc>
          <w:tcPr>
            <w:tcW w:w="403" w:type="pct"/>
            <w:tcBorders>
              <w:top w:val="nil"/>
              <w:left w:val="nil"/>
              <w:bottom w:val="single" w:sz="4" w:space="0" w:color="auto"/>
              <w:right w:val="single" w:sz="4" w:space="0" w:color="auto"/>
            </w:tcBorders>
            <w:noWrap/>
            <w:vAlign w:val="bottom"/>
            <w:hideMark/>
          </w:tcPr>
          <w:p w14:paraId="4C56333B" w14:textId="77777777" w:rsidR="00A14452" w:rsidRPr="00A14452" w:rsidRDefault="00A14452" w:rsidP="00A14452">
            <w:pPr>
              <w:spacing w:after="0" w:line="240" w:lineRule="auto"/>
              <w:jc w:val="right"/>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35,73%</w:t>
            </w:r>
          </w:p>
        </w:tc>
        <w:tc>
          <w:tcPr>
            <w:tcW w:w="49" w:type="pct"/>
            <w:tcBorders>
              <w:top w:val="nil"/>
              <w:left w:val="nil"/>
              <w:bottom w:val="single" w:sz="4" w:space="0" w:color="auto"/>
              <w:right w:val="single" w:sz="4" w:space="0" w:color="auto"/>
            </w:tcBorders>
            <w:shd w:val="clear" w:color="000000" w:fill="000000"/>
            <w:noWrap/>
            <w:vAlign w:val="bottom"/>
            <w:hideMark/>
          </w:tcPr>
          <w:p w14:paraId="21F84610"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w:t>
            </w:r>
          </w:p>
        </w:tc>
        <w:tc>
          <w:tcPr>
            <w:tcW w:w="765" w:type="pct"/>
            <w:tcBorders>
              <w:top w:val="nil"/>
              <w:left w:val="nil"/>
              <w:bottom w:val="single" w:sz="4" w:space="0" w:color="auto"/>
              <w:right w:val="single" w:sz="4" w:space="0" w:color="auto"/>
            </w:tcBorders>
            <w:vAlign w:val="bottom"/>
            <w:hideMark/>
          </w:tcPr>
          <w:p w14:paraId="4CA48F4E"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229,44 </w:t>
            </w:r>
          </w:p>
        </w:tc>
        <w:tc>
          <w:tcPr>
            <w:tcW w:w="765" w:type="pct"/>
            <w:tcBorders>
              <w:top w:val="nil"/>
              <w:left w:val="nil"/>
              <w:bottom w:val="single" w:sz="4" w:space="0" w:color="auto"/>
              <w:right w:val="single" w:sz="4" w:space="0" w:color="auto"/>
            </w:tcBorders>
            <w:vAlign w:val="bottom"/>
            <w:hideMark/>
          </w:tcPr>
          <w:p w14:paraId="601A85B7"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3.297,56 </w:t>
            </w:r>
          </w:p>
        </w:tc>
        <w:tc>
          <w:tcPr>
            <w:tcW w:w="765" w:type="pct"/>
            <w:tcBorders>
              <w:top w:val="nil"/>
              <w:left w:val="nil"/>
              <w:bottom w:val="single" w:sz="4" w:space="0" w:color="auto"/>
              <w:right w:val="single" w:sz="4" w:space="0" w:color="auto"/>
            </w:tcBorders>
            <w:vAlign w:val="bottom"/>
            <w:hideMark/>
          </w:tcPr>
          <w:p w14:paraId="7488AA46"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19.129,40 </w:t>
            </w:r>
          </w:p>
        </w:tc>
        <w:tc>
          <w:tcPr>
            <w:tcW w:w="397" w:type="pct"/>
            <w:tcBorders>
              <w:top w:val="nil"/>
              <w:left w:val="nil"/>
              <w:bottom w:val="single" w:sz="4" w:space="0" w:color="auto"/>
              <w:right w:val="single" w:sz="4" w:space="0" w:color="auto"/>
            </w:tcBorders>
            <w:vAlign w:val="bottom"/>
            <w:hideMark/>
          </w:tcPr>
          <w:p w14:paraId="39F935BE"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55.434,40 </w:t>
            </w:r>
          </w:p>
        </w:tc>
      </w:tr>
      <w:tr w:rsidR="00A14452" w:rsidRPr="00A14452" w14:paraId="3ED711F2" w14:textId="77777777" w:rsidTr="00A14452">
        <w:trPr>
          <w:trHeight w:val="276"/>
        </w:trPr>
        <w:tc>
          <w:tcPr>
            <w:tcW w:w="469" w:type="pct"/>
            <w:tcBorders>
              <w:top w:val="nil"/>
              <w:left w:val="single" w:sz="4" w:space="0" w:color="auto"/>
              <w:bottom w:val="single" w:sz="4" w:space="0" w:color="auto"/>
              <w:right w:val="single" w:sz="4" w:space="0" w:color="auto"/>
            </w:tcBorders>
            <w:noWrap/>
            <w:vAlign w:val="bottom"/>
            <w:hideMark/>
          </w:tcPr>
          <w:p w14:paraId="26146360" w14:textId="77777777" w:rsidR="00A14452" w:rsidRPr="00A14452" w:rsidRDefault="00A14452" w:rsidP="00A14452">
            <w:pPr>
              <w:spacing w:after="0" w:line="240" w:lineRule="auto"/>
              <w:rPr>
                <w:rFonts w:ascii="Arial" w:eastAsia="Times New Roman" w:hAnsi="Arial" w:cs="Arial"/>
                <w:b/>
                <w:bCs/>
                <w:color w:val="000000"/>
                <w:kern w:val="0"/>
                <w:sz w:val="16"/>
                <w:szCs w:val="16"/>
                <w:lang w:val="es-ES" w:eastAsia="es-ES"/>
                <w14:ligatures w14:val="none"/>
              </w:rPr>
            </w:pPr>
            <w:r w:rsidRPr="00A14452">
              <w:rPr>
                <w:rFonts w:ascii="Arial" w:eastAsia="Times New Roman" w:hAnsi="Arial" w:cs="Arial"/>
                <w:b/>
                <w:bCs/>
                <w:color w:val="000000"/>
                <w:kern w:val="0"/>
                <w:sz w:val="16"/>
                <w:szCs w:val="16"/>
                <w:lang w:val="es-ES" w:eastAsia="es-ES"/>
                <w14:ligatures w14:val="none"/>
              </w:rPr>
              <w:t>Totales</w:t>
            </w:r>
          </w:p>
        </w:tc>
        <w:tc>
          <w:tcPr>
            <w:tcW w:w="1385" w:type="pct"/>
            <w:tcBorders>
              <w:top w:val="nil"/>
              <w:left w:val="nil"/>
              <w:bottom w:val="single" w:sz="4" w:space="0" w:color="auto"/>
              <w:right w:val="single" w:sz="4" w:space="0" w:color="auto"/>
            </w:tcBorders>
            <w:noWrap/>
            <w:vAlign w:val="bottom"/>
            <w:hideMark/>
          </w:tcPr>
          <w:p w14:paraId="773518E3"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218.530,01 </w:t>
            </w:r>
          </w:p>
        </w:tc>
        <w:tc>
          <w:tcPr>
            <w:tcW w:w="403" w:type="pct"/>
            <w:tcBorders>
              <w:top w:val="nil"/>
              <w:left w:val="nil"/>
              <w:bottom w:val="single" w:sz="4" w:space="0" w:color="auto"/>
              <w:right w:val="single" w:sz="4" w:space="0" w:color="auto"/>
            </w:tcBorders>
            <w:noWrap/>
            <w:vAlign w:val="bottom"/>
            <w:hideMark/>
          </w:tcPr>
          <w:p w14:paraId="4B08B373" w14:textId="77777777" w:rsidR="00A14452" w:rsidRPr="00A14452" w:rsidRDefault="00A14452" w:rsidP="00A14452">
            <w:pPr>
              <w:spacing w:after="0" w:line="240" w:lineRule="auto"/>
              <w:jc w:val="right"/>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100,00%</w:t>
            </w:r>
          </w:p>
        </w:tc>
        <w:tc>
          <w:tcPr>
            <w:tcW w:w="49" w:type="pct"/>
            <w:tcBorders>
              <w:top w:val="nil"/>
              <w:left w:val="nil"/>
              <w:bottom w:val="single" w:sz="4" w:space="0" w:color="auto"/>
              <w:right w:val="single" w:sz="4" w:space="0" w:color="auto"/>
            </w:tcBorders>
            <w:shd w:val="clear" w:color="000000" w:fill="000000"/>
            <w:noWrap/>
            <w:vAlign w:val="bottom"/>
            <w:hideMark/>
          </w:tcPr>
          <w:p w14:paraId="27D92DB4"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w:t>
            </w:r>
          </w:p>
        </w:tc>
        <w:tc>
          <w:tcPr>
            <w:tcW w:w="765" w:type="pct"/>
            <w:tcBorders>
              <w:top w:val="nil"/>
              <w:left w:val="nil"/>
              <w:bottom w:val="single" w:sz="4" w:space="0" w:color="auto"/>
              <w:right w:val="single" w:sz="4" w:space="0" w:color="auto"/>
            </w:tcBorders>
            <w:vAlign w:val="bottom"/>
            <w:hideMark/>
          </w:tcPr>
          <w:p w14:paraId="51BB0D95"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17.782,50 </w:t>
            </w:r>
          </w:p>
        </w:tc>
        <w:tc>
          <w:tcPr>
            <w:tcW w:w="765" w:type="pct"/>
            <w:tcBorders>
              <w:top w:val="nil"/>
              <w:left w:val="nil"/>
              <w:bottom w:val="single" w:sz="4" w:space="0" w:color="auto"/>
              <w:right w:val="single" w:sz="4" w:space="0" w:color="auto"/>
            </w:tcBorders>
            <w:vAlign w:val="bottom"/>
            <w:hideMark/>
          </w:tcPr>
          <w:p w14:paraId="1004FA01"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39.593,07 </w:t>
            </w:r>
          </w:p>
        </w:tc>
        <w:tc>
          <w:tcPr>
            <w:tcW w:w="765" w:type="pct"/>
            <w:tcBorders>
              <w:top w:val="nil"/>
              <w:left w:val="nil"/>
              <w:bottom w:val="single" w:sz="4" w:space="0" w:color="auto"/>
              <w:right w:val="single" w:sz="4" w:space="0" w:color="auto"/>
            </w:tcBorders>
            <w:vAlign w:val="bottom"/>
            <w:hideMark/>
          </w:tcPr>
          <w:p w14:paraId="29F7A8EB"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65.497,60 </w:t>
            </w:r>
          </w:p>
        </w:tc>
        <w:tc>
          <w:tcPr>
            <w:tcW w:w="397" w:type="pct"/>
            <w:tcBorders>
              <w:top w:val="nil"/>
              <w:left w:val="nil"/>
              <w:bottom w:val="single" w:sz="4" w:space="0" w:color="auto"/>
              <w:right w:val="single" w:sz="4" w:space="0" w:color="auto"/>
            </w:tcBorders>
            <w:vAlign w:val="bottom"/>
            <w:hideMark/>
          </w:tcPr>
          <w:p w14:paraId="1D180DD3" w14:textId="77777777" w:rsidR="00A14452" w:rsidRPr="00A14452" w:rsidRDefault="00A14452" w:rsidP="00A14452">
            <w:pPr>
              <w:spacing w:after="0" w:line="240" w:lineRule="auto"/>
              <w:rPr>
                <w:rFonts w:ascii="Arial" w:eastAsia="Times New Roman" w:hAnsi="Arial" w:cs="Arial"/>
                <w:color w:val="000000"/>
                <w:kern w:val="0"/>
                <w:sz w:val="16"/>
                <w:szCs w:val="16"/>
                <w:lang w:val="es-ES" w:eastAsia="es-ES"/>
                <w14:ligatures w14:val="none"/>
              </w:rPr>
            </w:pPr>
            <w:r w:rsidRPr="00A14452">
              <w:rPr>
                <w:rFonts w:ascii="Arial" w:eastAsia="Times New Roman" w:hAnsi="Arial" w:cs="Arial"/>
                <w:color w:val="000000"/>
                <w:kern w:val="0"/>
                <w:sz w:val="16"/>
                <w:szCs w:val="16"/>
                <w:lang w:val="es-ES" w:eastAsia="es-ES"/>
                <w14:ligatures w14:val="none"/>
              </w:rPr>
              <w:t xml:space="preserve">         95.656,84 </w:t>
            </w:r>
          </w:p>
        </w:tc>
      </w:tr>
    </w:tbl>
    <w:p w14:paraId="12470FDC" w14:textId="2F410E18" w:rsidR="00B75C73" w:rsidRPr="00FC5B6A" w:rsidRDefault="00B75C73">
      <w:pPr>
        <w:rPr>
          <w:rFonts w:cstheme="minorHAnsi"/>
        </w:rPr>
      </w:pPr>
    </w:p>
    <w:p w14:paraId="5578F438" w14:textId="1800AB6F" w:rsidR="00915667" w:rsidRPr="00FC5B6A" w:rsidRDefault="00915667" w:rsidP="00B65467">
      <w:pPr>
        <w:pStyle w:val="Ttulo1"/>
        <w:numPr>
          <w:ilvl w:val="0"/>
          <w:numId w:val="20"/>
        </w:numPr>
        <w:rPr>
          <w:rFonts w:asciiTheme="minorHAnsi" w:hAnsiTheme="minorHAnsi" w:cstheme="minorHAnsi"/>
        </w:rPr>
      </w:pPr>
      <w:bookmarkStart w:id="111" w:name="_Toc186104586"/>
      <w:bookmarkStart w:id="112" w:name="_Toc224921369"/>
      <w:r w:rsidRPr="00FC5B6A">
        <w:rPr>
          <w:rFonts w:asciiTheme="minorHAnsi" w:hAnsiTheme="minorHAnsi" w:cstheme="minorHAnsi"/>
        </w:rPr>
        <w:t>Lineamientos generales</w:t>
      </w:r>
      <w:bookmarkEnd w:id="111"/>
      <w:bookmarkEnd w:id="112"/>
    </w:p>
    <w:p w14:paraId="3E10CD4C" w14:textId="77777777" w:rsidR="00915667" w:rsidRPr="00FC5B6A" w:rsidRDefault="00915667" w:rsidP="005A4F56">
      <w:pPr>
        <w:spacing w:after="0" w:line="240" w:lineRule="auto"/>
      </w:pPr>
    </w:p>
    <w:p w14:paraId="2EDB96DB" w14:textId="5B325DDE" w:rsidR="00E157F1" w:rsidRDefault="00291F73" w:rsidP="005A4F56">
      <w:pPr>
        <w:spacing w:after="0" w:line="240" w:lineRule="auto"/>
        <w:jc w:val="both"/>
        <w:rPr>
          <w:rFonts w:cstheme="minorHAnsi"/>
        </w:rPr>
      </w:pPr>
      <w:r w:rsidRPr="00FC5B6A">
        <w:rPr>
          <w:rFonts w:cstheme="minorHAnsi"/>
        </w:rPr>
        <w:t xml:space="preserve">Las áreas establecidas en la Ley 2 de 1959, </w:t>
      </w:r>
      <w:r w:rsidR="00F3041A" w:rsidRPr="00FC5B6A">
        <w:rPr>
          <w:rFonts w:cstheme="minorHAnsi"/>
        </w:rPr>
        <w:t xml:space="preserve">como se </w:t>
      </w:r>
      <w:r w:rsidR="00120410" w:rsidRPr="00FC5B6A">
        <w:rPr>
          <w:rFonts w:cstheme="minorHAnsi"/>
        </w:rPr>
        <w:t>citó</w:t>
      </w:r>
      <w:r w:rsidR="00F3041A" w:rsidRPr="00FC5B6A">
        <w:rPr>
          <w:rFonts w:cstheme="minorHAnsi"/>
        </w:rPr>
        <w:t xml:space="preserve"> en numerales anteriores, </w:t>
      </w:r>
      <w:r w:rsidRPr="00FC5B6A">
        <w:rPr>
          <w:rFonts w:cstheme="minorHAnsi"/>
        </w:rPr>
        <w:t xml:space="preserve">cumplen </w:t>
      </w:r>
      <w:r w:rsidR="00E157F1" w:rsidRPr="00FC5B6A">
        <w:rPr>
          <w:rFonts w:cstheme="minorHAnsi"/>
        </w:rPr>
        <w:t xml:space="preserve">objetivos </w:t>
      </w:r>
      <w:r w:rsidRPr="00FC5B6A">
        <w:rPr>
          <w:rFonts w:cstheme="minorHAnsi"/>
        </w:rPr>
        <w:t>respecto al</w:t>
      </w:r>
      <w:r w:rsidR="00E157F1" w:rsidRPr="00FC5B6A">
        <w:rPr>
          <w:rFonts w:cstheme="minorHAnsi"/>
        </w:rPr>
        <w:t xml:space="preserve"> desarrollo de la economía forestal</w:t>
      </w:r>
      <w:r w:rsidR="00AA46BE" w:rsidRPr="00FC5B6A">
        <w:rPr>
          <w:rFonts w:cstheme="minorHAnsi"/>
        </w:rPr>
        <w:t>,</w:t>
      </w:r>
      <w:r w:rsidR="00E157F1" w:rsidRPr="00FC5B6A">
        <w:rPr>
          <w:rFonts w:cstheme="minorHAnsi"/>
        </w:rPr>
        <w:t xml:space="preserve"> protección de los suelos, las aguas y la vida silvestre</w:t>
      </w:r>
      <w:r w:rsidRPr="00FC5B6A">
        <w:rPr>
          <w:rFonts w:cstheme="minorHAnsi"/>
        </w:rPr>
        <w:t>; que,</w:t>
      </w:r>
      <w:r w:rsidR="00AA46BE" w:rsidRPr="00FC5B6A">
        <w:rPr>
          <w:rFonts w:cstheme="minorHAnsi"/>
        </w:rPr>
        <w:t xml:space="preserve"> si bien estas áreas el artículo 3 del Decreto 877 de 1976 les atribuyó el carácter de áreas de reserva forestal y el artículo 22 del Decreto 2372 de 2010, compilado en el artículo 2.2.2.1.3.1. del Decreto Único No. 1076 de 2015, determinó que, pese a no ser áreas protegidas integrantes del</w:t>
      </w:r>
      <w:r w:rsidR="00C31B8D" w:rsidRPr="00FC5B6A">
        <w:rPr>
          <w:rFonts w:cstheme="minorHAnsi"/>
        </w:rPr>
        <w:t xml:space="preserve"> </w:t>
      </w:r>
      <w:r w:rsidR="00AA46BE" w:rsidRPr="00FC5B6A">
        <w:rPr>
          <w:rFonts w:cstheme="minorHAnsi"/>
        </w:rPr>
        <w:t xml:space="preserve">SINAP, estas reservas forestales son consideradas como una estrategia de conservación </w:t>
      </w:r>
      <w:r w:rsidR="00AA46BE" w:rsidRPr="00FC5B6A">
        <w:rPr>
          <w:rFonts w:cstheme="minorHAnsi"/>
          <w:i/>
          <w:iCs/>
        </w:rPr>
        <w:t>in situ</w:t>
      </w:r>
      <w:r w:rsidR="00AA46BE" w:rsidRPr="00FC5B6A">
        <w:rPr>
          <w:rFonts w:cstheme="minorHAnsi"/>
        </w:rPr>
        <w:t xml:space="preserve"> que aporta a la protección, planeación y manejo de los recursos naturales renovables y al cumplimiento de los objetivos generales de conservación del país, mantiene</w:t>
      </w:r>
      <w:r w:rsidRPr="00FC5B6A">
        <w:rPr>
          <w:rFonts w:cstheme="minorHAnsi"/>
        </w:rPr>
        <w:t>n</w:t>
      </w:r>
      <w:r w:rsidR="00AA46BE" w:rsidRPr="00FC5B6A">
        <w:rPr>
          <w:rFonts w:cstheme="minorHAnsi"/>
        </w:rPr>
        <w:t xml:space="preserve"> plena vigencia y se continúa rigiendo, para todos sus efectos, por las normas que las regulan.</w:t>
      </w:r>
    </w:p>
    <w:p w14:paraId="23922F3B" w14:textId="77777777" w:rsidR="005A4F56" w:rsidRPr="00FC5B6A" w:rsidRDefault="005A4F56" w:rsidP="005A4F56">
      <w:pPr>
        <w:spacing w:after="0" w:line="240" w:lineRule="auto"/>
        <w:jc w:val="both"/>
        <w:rPr>
          <w:rFonts w:cstheme="minorHAnsi"/>
        </w:rPr>
      </w:pPr>
    </w:p>
    <w:p w14:paraId="1DD29A35" w14:textId="2D2AD247" w:rsidR="00583121" w:rsidRDefault="00291F73" w:rsidP="005A4F56">
      <w:pPr>
        <w:spacing w:after="0" w:line="240" w:lineRule="auto"/>
        <w:jc w:val="both"/>
      </w:pPr>
      <w:r w:rsidRPr="00FC5B6A">
        <w:t xml:space="preserve">En este </w:t>
      </w:r>
      <w:r w:rsidR="001D1A15" w:rsidRPr="00FC5B6A">
        <w:t>marco</w:t>
      </w:r>
      <w:r w:rsidRPr="00FC5B6A">
        <w:t xml:space="preserve"> de </w:t>
      </w:r>
      <w:r w:rsidR="001D1A15" w:rsidRPr="00FC5B6A">
        <w:t>los</w:t>
      </w:r>
      <w:r w:rsidRPr="00FC5B6A">
        <w:t xml:space="preserve"> objetivos</w:t>
      </w:r>
      <w:r w:rsidR="001D1A15" w:rsidRPr="00FC5B6A">
        <w:t xml:space="preserve"> de</w:t>
      </w:r>
      <w:r w:rsidR="00F36C69" w:rsidRPr="00FC5B6A">
        <w:t xml:space="preserve"> las reservas forestales de Ley 2 de 1959</w:t>
      </w:r>
      <w:r w:rsidR="001D1A15" w:rsidRPr="00FC5B6A">
        <w:t>,</w:t>
      </w:r>
      <w:r w:rsidR="00F36C69" w:rsidRPr="00FC5B6A">
        <w:t xml:space="preserve"> se debe propender por realizar </w:t>
      </w:r>
      <w:r w:rsidR="006C05DA" w:rsidRPr="00FC5B6A">
        <w:t xml:space="preserve">una zonificación y ordenamiento </w:t>
      </w:r>
      <w:r w:rsidR="001D1A15" w:rsidRPr="00FC5B6A">
        <w:t xml:space="preserve">que aporten a la producción y el uso sostenible de productos forestales maderables y no maderables, sus demás servicios ecosistémicos asociados; así como preservar y proteger la funcionalidad ecosistémica de dichas reservas. Entendidos estos objetivos en un escenario de </w:t>
      </w:r>
      <w:r w:rsidR="008C1FDD" w:rsidRPr="00FC5B6A">
        <w:t>amenazas naturales</w:t>
      </w:r>
      <w:r w:rsidR="006C05DA" w:rsidRPr="00FC5B6A">
        <w:t xml:space="preserve"> y antrópicas</w:t>
      </w:r>
      <w:r w:rsidR="008C1FDD" w:rsidRPr="00FC5B6A">
        <w:t xml:space="preserve">, </w:t>
      </w:r>
      <w:r w:rsidR="001D1A15" w:rsidRPr="00FC5B6A">
        <w:t>presiones</w:t>
      </w:r>
      <w:r w:rsidR="008C1FDD" w:rsidRPr="00FC5B6A">
        <w:t>, conflictos socio ambientales</w:t>
      </w:r>
      <w:r w:rsidR="001D1A15" w:rsidRPr="00FC5B6A">
        <w:t>,</w:t>
      </w:r>
      <w:r w:rsidR="008C1FDD" w:rsidRPr="00FC5B6A">
        <w:t xml:space="preserve"> y a</w:t>
      </w:r>
      <w:r w:rsidR="00B14B34" w:rsidRPr="00FC5B6A">
        <w:t xml:space="preserve"> </w:t>
      </w:r>
      <w:r w:rsidR="008C1FDD" w:rsidRPr="00FC5B6A">
        <w:t>l</w:t>
      </w:r>
      <w:r w:rsidR="00B14B34" w:rsidRPr="00FC5B6A">
        <w:t>a</w:t>
      </w:r>
      <w:r w:rsidR="008C1FDD" w:rsidRPr="00FC5B6A">
        <w:t xml:space="preserve"> vez potencialidades de los territorios que se expresan en </w:t>
      </w:r>
      <w:r w:rsidR="006C05DA" w:rsidRPr="00FC5B6A">
        <w:t>su</w:t>
      </w:r>
      <w:r w:rsidR="008C1FDD" w:rsidRPr="00FC5B6A">
        <w:t xml:space="preserve"> oferta ambiental (componentes biofísicos, culturales y sociales)</w:t>
      </w:r>
      <w:r w:rsidR="00583121" w:rsidRPr="00FC5B6A">
        <w:t>; donde</w:t>
      </w:r>
      <w:r w:rsidR="006C05DA" w:rsidRPr="00FC5B6A">
        <w:t xml:space="preserve"> </w:t>
      </w:r>
      <w:r w:rsidR="00583121" w:rsidRPr="00FC5B6A">
        <w:t>el Ministerio dentro de sus competencias debe entre otros ámbitos, definir la zonificación, ordenamiento, y el régimen de usos de las áreas de reserva forestal establecidas por el artículo 1° de la Ley 2 de 1959</w:t>
      </w:r>
      <w:r w:rsidR="00583121" w:rsidRPr="00FC5B6A">
        <w:rPr>
          <w:rStyle w:val="Refdenotaalpie"/>
        </w:rPr>
        <w:footnoteReference w:id="23"/>
      </w:r>
      <w:r w:rsidR="00583121" w:rsidRPr="00FC5B6A">
        <w:t>.</w:t>
      </w:r>
    </w:p>
    <w:p w14:paraId="12B905A2" w14:textId="77777777" w:rsidR="005A4F56" w:rsidRPr="00FC5B6A" w:rsidRDefault="005A4F56" w:rsidP="005A4F56">
      <w:pPr>
        <w:spacing w:after="0" w:line="240" w:lineRule="auto"/>
        <w:jc w:val="both"/>
        <w:rPr>
          <w:rFonts w:cstheme="minorHAnsi"/>
        </w:rPr>
      </w:pPr>
    </w:p>
    <w:p w14:paraId="267CC795" w14:textId="4A0349CA" w:rsidR="00583121" w:rsidRDefault="7B4C48F3" w:rsidP="005A4F56">
      <w:pPr>
        <w:spacing w:after="0" w:line="240" w:lineRule="auto"/>
        <w:jc w:val="both"/>
        <w:rPr>
          <w:rFonts w:eastAsiaTheme="minorEastAsia"/>
        </w:rPr>
      </w:pPr>
      <w:r w:rsidRPr="00FC5B6A">
        <w:rPr>
          <w:rFonts w:eastAsiaTheme="minorEastAsia"/>
          <w:lang w:val="es"/>
        </w:rPr>
        <w:t xml:space="preserve">La mencionada Ley 2 de 1959 determinó que los bosques existentes en estas zonas debían someterse a un plan de ordenación forestal; así mismo dispuso en su artículo 6 que, los “concesionarios o permisionarios de explotación de bosques en terrenos baldíos, deberán, para que </w:t>
      </w:r>
      <w:r w:rsidRPr="00FC5B6A">
        <w:rPr>
          <w:rFonts w:eastAsiaTheme="minorEastAsia"/>
          <w:lang w:val="es"/>
        </w:rPr>
        <w:lastRenderedPageBreak/>
        <w:t xml:space="preserve">puedan continuar dicha explotación, someter un plan de manejo forestal (…)”. </w:t>
      </w:r>
      <w:r w:rsidR="00036795" w:rsidRPr="00FC5B6A">
        <w:rPr>
          <w:rFonts w:eastAsiaTheme="minorEastAsia"/>
          <w:lang w:val="es"/>
        </w:rPr>
        <w:t>Igualmente</w:t>
      </w:r>
      <w:r w:rsidRPr="00FC5B6A">
        <w:rPr>
          <w:rFonts w:eastAsiaTheme="minorEastAsia"/>
          <w:lang w:val="es"/>
        </w:rPr>
        <w:t>, dispuso que, el Gobierno reglamentará la explotación forestal en los bosques públicos y privados</w:t>
      </w:r>
      <w:r w:rsidR="005A4F56">
        <w:rPr>
          <w:rFonts w:eastAsiaTheme="minorEastAsia"/>
        </w:rPr>
        <w:t>.</w:t>
      </w:r>
    </w:p>
    <w:p w14:paraId="7F741AD3" w14:textId="77777777" w:rsidR="005A4F56" w:rsidRPr="00FC5B6A" w:rsidRDefault="005A4F56" w:rsidP="005A4F56">
      <w:pPr>
        <w:spacing w:after="0" w:line="240" w:lineRule="auto"/>
        <w:jc w:val="both"/>
      </w:pPr>
    </w:p>
    <w:p w14:paraId="519C47BA" w14:textId="60C669ED" w:rsidR="00583121" w:rsidRPr="00FC5B6A" w:rsidRDefault="00583121" w:rsidP="005A4F56">
      <w:pPr>
        <w:spacing w:after="0" w:line="240" w:lineRule="auto"/>
        <w:jc w:val="both"/>
      </w:pPr>
      <w:r w:rsidRPr="00FC5B6A">
        <w:t>Precisamente</w:t>
      </w:r>
      <w:r w:rsidR="6E01A381" w:rsidRPr="00FC5B6A">
        <w:t xml:space="preserve">, en </w:t>
      </w:r>
      <w:r w:rsidR="00F3041A" w:rsidRPr="00FC5B6A">
        <w:t>relación</w:t>
      </w:r>
      <w:r w:rsidR="6E01A381" w:rsidRPr="00FC5B6A">
        <w:t xml:space="preserve"> con las área</w:t>
      </w:r>
      <w:r w:rsidR="00080BED" w:rsidRPr="00FC5B6A">
        <w:t>s</w:t>
      </w:r>
      <w:r w:rsidR="6E01A381" w:rsidRPr="00FC5B6A">
        <w:t xml:space="preserve"> de reserva forestal, </w:t>
      </w:r>
      <w:r w:rsidRPr="00FC5B6A">
        <w:t>la Ley 165 de 1994 “</w:t>
      </w:r>
      <w:r w:rsidRPr="00FC5B6A">
        <w:rPr>
          <w:i/>
          <w:iCs/>
        </w:rPr>
        <w:t>Por medio de la cual se aprueba el Convenio sobre la Diversidad Biológica, hecho en Río de Janeiro el 5 de junio de 1992</w:t>
      </w:r>
      <w:r w:rsidRPr="00FC5B6A">
        <w:t>”, en su artículo 8 al ref</w:t>
      </w:r>
      <w:r w:rsidR="00EB3B4D" w:rsidRPr="00FC5B6A">
        <w:t>e</w:t>
      </w:r>
      <w:r w:rsidRPr="00FC5B6A">
        <w:t xml:space="preserve">rirse a la conservación </w:t>
      </w:r>
      <w:r w:rsidRPr="00FC5B6A">
        <w:rPr>
          <w:i/>
          <w:iCs/>
        </w:rPr>
        <w:t>in situ</w:t>
      </w:r>
      <w:r w:rsidRPr="00FC5B6A">
        <w:t xml:space="preserve"> indica que en la medida de lo posible y según proceda </w:t>
      </w:r>
      <w:r w:rsidR="00165BD4" w:rsidRPr="00FC5B6A">
        <w:t>para cada parte</w:t>
      </w:r>
      <w:r w:rsidR="006B5A73" w:rsidRPr="00FC5B6A">
        <w:t xml:space="preserve"> </w:t>
      </w:r>
      <w:r w:rsidR="008107B7" w:rsidRPr="00FC5B6A">
        <w:t>se:</w:t>
      </w:r>
    </w:p>
    <w:p w14:paraId="12814120" w14:textId="77777777" w:rsidR="00165BD4" w:rsidRPr="00FC5B6A" w:rsidRDefault="00165BD4" w:rsidP="00B65467">
      <w:pPr>
        <w:pStyle w:val="NormalWeb"/>
        <w:numPr>
          <w:ilvl w:val="0"/>
          <w:numId w:val="13"/>
        </w:numPr>
        <w:jc w:val="both"/>
        <w:rPr>
          <w:rFonts w:asciiTheme="minorHAnsi" w:hAnsiTheme="minorHAnsi" w:cstheme="minorHAnsi"/>
          <w:sz w:val="22"/>
          <w:szCs w:val="22"/>
        </w:rPr>
      </w:pPr>
      <w:r w:rsidRPr="00FC5B6A">
        <w:rPr>
          <w:rFonts w:asciiTheme="minorHAnsi" w:hAnsiTheme="minorHAnsi" w:cstheme="minorHAnsi"/>
          <w:sz w:val="22"/>
          <w:szCs w:val="22"/>
        </w:rPr>
        <w:t>Establecerá áreas donde haya que tomar medidas especiales para conservar la diversidad biológica; </w:t>
      </w:r>
    </w:p>
    <w:p w14:paraId="453052DD" w14:textId="3690BE74" w:rsidR="00165BD4" w:rsidRPr="00FC5B6A" w:rsidRDefault="00165BD4" w:rsidP="00B65467">
      <w:pPr>
        <w:pStyle w:val="NormalWeb"/>
        <w:numPr>
          <w:ilvl w:val="0"/>
          <w:numId w:val="13"/>
        </w:numPr>
        <w:jc w:val="both"/>
        <w:rPr>
          <w:rFonts w:asciiTheme="minorHAnsi" w:hAnsiTheme="minorHAnsi" w:cstheme="minorHAnsi"/>
          <w:sz w:val="22"/>
          <w:szCs w:val="22"/>
        </w:rPr>
      </w:pPr>
      <w:r w:rsidRPr="00FC5B6A">
        <w:rPr>
          <w:rFonts w:asciiTheme="minorHAnsi" w:hAnsiTheme="minorHAnsi" w:cstheme="minorHAnsi"/>
          <w:sz w:val="22"/>
          <w:szCs w:val="22"/>
        </w:rPr>
        <w:t>Cuando sea necesario, elaborará directrices para la selección, el establecimiento y la ordenación de áreas donde haya que tomar medidas especiales para conservar la diversidad biológica; </w:t>
      </w:r>
    </w:p>
    <w:p w14:paraId="4660DEF1" w14:textId="6F83351B" w:rsidR="00165BD4" w:rsidRPr="00FC5B6A" w:rsidRDefault="00165BD4" w:rsidP="00B65467">
      <w:pPr>
        <w:pStyle w:val="NormalWeb"/>
        <w:numPr>
          <w:ilvl w:val="0"/>
          <w:numId w:val="13"/>
        </w:numPr>
        <w:jc w:val="both"/>
        <w:rPr>
          <w:rFonts w:asciiTheme="minorHAnsi" w:hAnsiTheme="minorHAnsi" w:cstheme="minorHAnsi"/>
          <w:sz w:val="22"/>
          <w:szCs w:val="22"/>
        </w:rPr>
      </w:pPr>
      <w:r w:rsidRPr="00FC5B6A">
        <w:rPr>
          <w:rFonts w:asciiTheme="minorHAnsi" w:hAnsiTheme="minorHAnsi" w:cstheme="minorHAnsi"/>
          <w:sz w:val="22"/>
          <w:szCs w:val="22"/>
        </w:rPr>
        <w:t>Promoverá un desarrollo ambientalmente adecuado y sostenible en zonas adyacentes a áreas protegidas, con miras a aumentar la protección de esas zonas</w:t>
      </w:r>
      <w:r w:rsidR="008D3CBC" w:rsidRPr="00FC5B6A">
        <w:rPr>
          <w:rFonts w:asciiTheme="minorHAnsi" w:hAnsiTheme="minorHAnsi" w:cstheme="minorHAnsi"/>
          <w:sz w:val="22"/>
          <w:szCs w:val="22"/>
        </w:rPr>
        <w:t>;</w:t>
      </w:r>
    </w:p>
    <w:p w14:paraId="635BC9BF" w14:textId="4E75E64E" w:rsidR="00165BD4" w:rsidRPr="00FC5B6A" w:rsidRDefault="00165BD4" w:rsidP="00B65467">
      <w:pPr>
        <w:pStyle w:val="NormalWeb"/>
        <w:numPr>
          <w:ilvl w:val="0"/>
          <w:numId w:val="13"/>
        </w:numPr>
        <w:jc w:val="both"/>
        <w:rPr>
          <w:rFonts w:asciiTheme="minorHAnsi" w:hAnsiTheme="minorHAnsi" w:cstheme="minorHAnsi"/>
          <w:sz w:val="22"/>
          <w:szCs w:val="22"/>
        </w:rPr>
      </w:pPr>
      <w:r w:rsidRPr="00FC5B6A">
        <w:rPr>
          <w:rFonts w:asciiTheme="minorHAnsi" w:hAnsiTheme="minorHAnsi" w:cstheme="minorHAnsi"/>
          <w:sz w:val="22"/>
          <w:szCs w:val="22"/>
        </w:rPr>
        <w:t>Rehabilitará y restaurará ecosistemas degradados y promoverá la recuperación de especies amenazadas, entre otras cosas mediante la elaboración y la aplicación de planes u otras estrategias de ordenación</w:t>
      </w:r>
      <w:r w:rsidR="008D3CBC" w:rsidRPr="00FC5B6A">
        <w:rPr>
          <w:rFonts w:asciiTheme="minorHAnsi" w:hAnsiTheme="minorHAnsi" w:cstheme="minorHAnsi"/>
          <w:sz w:val="22"/>
          <w:szCs w:val="22"/>
        </w:rPr>
        <w:t>;</w:t>
      </w:r>
    </w:p>
    <w:p w14:paraId="5EF4F506" w14:textId="3B8DF70B" w:rsidR="0983F672" w:rsidRPr="005A4F56" w:rsidRDefault="0983F672" w:rsidP="005A4F56">
      <w:pPr>
        <w:pStyle w:val="NormalWeb"/>
        <w:numPr>
          <w:ilvl w:val="0"/>
          <w:numId w:val="13"/>
        </w:numPr>
        <w:jc w:val="both"/>
        <w:rPr>
          <w:rFonts w:cstheme="minorHAnsi"/>
          <w:sz w:val="22"/>
          <w:szCs w:val="22"/>
        </w:rPr>
      </w:pPr>
      <w:r w:rsidRPr="00FC5B6A">
        <w:rPr>
          <w:rFonts w:asciiTheme="minorHAnsi" w:hAnsiTheme="minorHAnsi" w:cstheme="minorBidi"/>
          <w:sz w:val="22"/>
          <w:szCs w:val="22"/>
        </w:rPr>
        <w:t>Procurará establecer las condiciones necesarias para armonizar las utilizaciones actuales con la conservación de la diversidad biológica y la utilización sostenible de sus componentes.</w:t>
      </w:r>
    </w:p>
    <w:p w14:paraId="351C3C58" w14:textId="25A965BD" w:rsidR="006B5A73" w:rsidRPr="00FC5B6A" w:rsidRDefault="6864A7A5" w:rsidP="6DA5CA81">
      <w:pPr>
        <w:spacing w:after="0"/>
        <w:jc w:val="both"/>
        <w:rPr>
          <w:rFonts w:eastAsiaTheme="minorEastAsia"/>
          <w:lang w:val="es" w:eastAsia="es-CO"/>
        </w:rPr>
      </w:pPr>
      <w:r w:rsidRPr="00FC5B6A">
        <w:t>Igualmente</w:t>
      </w:r>
      <w:r w:rsidR="33787441" w:rsidRPr="00FC5B6A">
        <w:t>,</w:t>
      </w:r>
      <w:r w:rsidR="5A4E8DB7" w:rsidRPr="00FC5B6A">
        <w:rPr>
          <w:rFonts w:ascii="Arial Narrow" w:eastAsia="Arial Narrow" w:hAnsi="Arial Narrow" w:cs="Arial Narrow"/>
          <w:b/>
          <w:bCs/>
          <w:sz w:val="24"/>
          <w:szCs w:val="24"/>
          <w:lang w:val="es"/>
        </w:rPr>
        <w:t xml:space="preserve"> </w:t>
      </w:r>
      <w:r w:rsidR="5A4E8DB7" w:rsidRPr="00FC5B6A">
        <w:rPr>
          <w:rFonts w:eastAsiaTheme="minorEastAsia"/>
          <w:lang w:val="es" w:eastAsia="es-CO"/>
        </w:rPr>
        <w:t xml:space="preserve">en </w:t>
      </w:r>
      <w:r w:rsidR="4B5DD5B6" w:rsidRPr="00FC5B6A">
        <w:rPr>
          <w:rFonts w:eastAsiaTheme="minorEastAsia"/>
          <w:lang w:val="es" w:eastAsia="es-CO"/>
        </w:rPr>
        <w:t>la Ley 2294 de 2023 “</w:t>
      </w:r>
      <w:r w:rsidR="4B5DD5B6" w:rsidRPr="00FC5B6A">
        <w:rPr>
          <w:rFonts w:eastAsiaTheme="minorEastAsia"/>
          <w:i/>
          <w:iCs/>
          <w:lang w:val="es" w:eastAsia="es-CO"/>
        </w:rPr>
        <w:t xml:space="preserve">Por la cual se expide el plan nacional de desarrollo 2022-2026 </w:t>
      </w:r>
      <w:r w:rsidR="20C8262B" w:rsidRPr="00FC5B6A">
        <w:rPr>
          <w:rFonts w:eastAsiaTheme="minorEastAsia"/>
          <w:i/>
          <w:iCs/>
          <w:lang w:val="es" w:eastAsia="es-CO"/>
        </w:rPr>
        <w:t xml:space="preserve">- </w:t>
      </w:r>
      <w:r w:rsidR="4B5DD5B6" w:rsidRPr="00FC5B6A">
        <w:rPr>
          <w:rFonts w:eastAsiaTheme="minorEastAsia"/>
          <w:i/>
          <w:iCs/>
          <w:lang w:val="es" w:eastAsia="es-CO"/>
        </w:rPr>
        <w:t xml:space="preserve">Colombia </w:t>
      </w:r>
      <w:r w:rsidR="121E5303" w:rsidRPr="00FC5B6A">
        <w:rPr>
          <w:rFonts w:eastAsiaTheme="minorEastAsia"/>
          <w:i/>
          <w:iCs/>
          <w:lang w:val="es" w:eastAsia="es-CO"/>
        </w:rPr>
        <w:t>potencial mundial de la vida</w:t>
      </w:r>
      <w:r w:rsidR="121E5303" w:rsidRPr="00FC5B6A">
        <w:rPr>
          <w:rFonts w:eastAsiaTheme="minorEastAsia"/>
          <w:lang w:val="es" w:eastAsia="es-CO"/>
        </w:rPr>
        <w:t>”</w:t>
      </w:r>
      <w:r w:rsidR="5A4E8DB7" w:rsidRPr="00FC5B6A">
        <w:rPr>
          <w:rFonts w:eastAsiaTheme="minorEastAsia"/>
          <w:lang w:val="es" w:eastAsia="es-CO"/>
        </w:rPr>
        <w:t xml:space="preserve"> se señala </w:t>
      </w:r>
      <w:r w:rsidR="7ECA6CD4" w:rsidRPr="00FC5B6A">
        <w:rPr>
          <w:rFonts w:eastAsiaTheme="minorEastAsia"/>
          <w:lang w:val="es" w:eastAsia="es-CO"/>
        </w:rPr>
        <w:t>la concesión forestal campesina como el “</w:t>
      </w:r>
      <w:r w:rsidR="7ECA6CD4" w:rsidRPr="00FC5B6A">
        <w:rPr>
          <w:rFonts w:eastAsiaTheme="minorEastAsia"/>
          <w:i/>
          <w:iCs/>
          <w:lang w:val="es" w:eastAsia="es-CO"/>
        </w:rPr>
        <w:t>Modo por medio del cual se otorga el uso del recurso forestal y de la biodiversidad en los</w:t>
      </w:r>
      <w:r w:rsidR="5DA4F554" w:rsidRPr="00FC5B6A">
        <w:rPr>
          <w:rFonts w:eastAsiaTheme="minorEastAsia"/>
          <w:i/>
          <w:iCs/>
          <w:lang w:val="es" w:eastAsia="es-CO"/>
        </w:rPr>
        <w:t xml:space="preserve"> </w:t>
      </w:r>
      <w:r w:rsidR="7ECA6CD4" w:rsidRPr="00FC5B6A">
        <w:rPr>
          <w:rFonts w:eastAsiaTheme="minorEastAsia"/>
          <w:i/>
          <w:iCs/>
          <w:lang w:val="es" w:eastAsia="es-CO"/>
        </w:rPr>
        <w:t>baldíos de la Nación, ubicados al interior de las zonas de reserva de Ley 2ª de 1959, y con acompañamiento del Estado, sin perjuicio de los otros</w:t>
      </w:r>
      <w:r w:rsidR="52B5E9F8" w:rsidRPr="00FC5B6A">
        <w:rPr>
          <w:rFonts w:eastAsiaTheme="minorEastAsia"/>
          <w:i/>
          <w:iCs/>
          <w:lang w:val="es" w:eastAsia="es-CO"/>
        </w:rPr>
        <w:t xml:space="preserve"> </w:t>
      </w:r>
      <w:r w:rsidR="7ECA6CD4" w:rsidRPr="00FC5B6A">
        <w:rPr>
          <w:rFonts w:eastAsiaTheme="minorEastAsia"/>
          <w:i/>
          <w:iCs/>
          <w:lang w:val="es" w:eastAsia="es-CO"/>
        </w:rPr>
        <w:t>modos establecidos para el aprovechamiento forestal</w:t>
      </w:r>
      <w:r w:rsidR="7ECA6CD4" w:rsidRPr="00FC5B6A">
        <w:rPr>
          <w:rFonts w:eastAsiaTheme="minorEastAsia"/>
          <w:lang w:val="es" w:eastAsia="es-CO"/>
        </w:rPr>
        <w:t>.</w:t>
      </w:r>
      <w:r w:rsidR="6BA09C8A" w:rsidRPr="00FC5B6A">
        <w:rPr>
          <w:rFonts w:eastAsiaTheme="minorEastAsia"/>
          <w:lang w:val="es" w:eastAsia="es-CO"/>
        </w:rPr>
        <w:t>”</w:t>
      </w:r>
      <w:r w:rsidR="0D87F2A8" w:rsidRPr="00FC5B6A">
        <w:rPr>
          <w:rFonts w:eastAsiaTheme="minorEastAsia"/>
          <w:lang w:val="es" w:eastAsia="es-CO"/>
        </w:rPr>
        <w:t>. Donde además “</w:t>
      </w:r>
      <w:r w:rsidR="0D87F2A8" w:rsidRPr="00FC5B6A">
        <w:rPr>
          <w:rFonts w:eastAsiaTheme="minorEastAsia"/>
          <w:i/>
          <w:iCs/>
          <w:lang w:val="es" w:eastAsia="es-CO"/>
        </w:rPr>
        <w:t>La concesión forestal campesina será de carácter persistente y tendrá por objeto conservar el bosque con las comunidades, dignificando sus modos de vida, para lo cual se promoverá la economía forestal comunitaria y de la biodiversidad, el desarrollo de actividades de recuperación, rehabilitación y restauración y el manejo forestal sostenible de productos maderables, no maderables y servicios ecosistémicos, respetando los usos definidos para las zonas de reserva de la Ley 2 de 1959, con el fin de contribuir a controlar la pérdida de bosque en los núcleos activos de deforestación y la degradación de ecosistemas naturales</w:t>
      </w:r>
      <w:r w:rsidR="0D87F2A8" w:rsidRPr="00FC5B6A">
        <w:rPr>
          <w:rFonts w:eastAsiaTheme="minorEastAsia"/>
          <w:lang w:val="es" w:eastAsia="es-CO"/>
        </w:rPr>
        <w:t>”.</w:t>
      </w:r>
      <w:r w:rsidR="7ECA6CD4" w:rsidRPr="00FC5B6A">
        <w:rPr>
          <w:rFonts w:eastAsiaTheme="minorEastAsia"/>
          <w:lang w:val="es" w:eastAsia="es-CO"/>
        </w:rPr>
        <w:t xml:space="preserve"> </w:t>
      </w:r>
    </w:p>
    <w:p w14:paraId="60F94BA7" w14:textId="4930FA84" w:rsidR="006B5A73" w:rsidRPr="00FC5B6A" w:rsidRDefault="006B5A73" w:rsidP="6DA5CA81">
      <w:pPr>
        <w:spacing w:after="0"/>
        <w:jc w:val="both"/>
        <w:rPr>
          <w:rFonts w:eastAsiaTheme="minorEastAsia"/>
          <w:lang w:val="es" w:eastAsia="es-CO"/>
        </w:rPr>
      </w:pPr>
    </w:p>
    <w:p w14:paraId="4FCF3AB0" w14:textId="6AC5B1FD" w:rsidR="006B5A73" w:rsidRPr="00FC5B6A" w:rsidRDefault="50DA2ED2" w:rsidP="005A4F56">
      <w:pPr>
        <w:spacing w:after="0" w:line="240" w:lineRule="auto"/>
        <w:jc w:val="both"/>
        <w:rPr>
          <w:rFonts w:eastAsiaTheme="minorEastAsia"/>
          <w:lang w:val="es-ES" w:eastAsia="es-CO"/>
        </w:rPr>
      </w:pPr>
      <w:r w:rsidRPr="00FC5B6A">
        <w:rPr>
          <w:rFonts w:eastAsiaTheme="minorEastAsia"/>
          <w:lang w:val="es-ES" w:eastAsia="es-CO"/>
        </w:rPr>
        <w:t xml:space="preserve">Esta Ley, en el marco </w:t>
      </w:r>
      <w:r w:rsidR="302CA16B" w:rsidRPr="00FC5B6A">
        <w:rPr>
          <w:rFonts w:eastAsiaTheme="minorEastAsia"/>
          <w:lang w:val="es-ES" w:eastAsia="es-CO"/>
        </w:rPr>
        <w:t xml:space="preserve">de la lucha contra </w:t>
      </w:r>
      <w:r w:rsidR="00036795" w:rsidRPr="00FC5B6A">
        <w:rPr>
          <w:rFonts w:eastAsiaTheme="minorEastAsia"/>
          <w:lang w:val="es-ES" w:eastAsia="es-CO"/>
        </w:rPr>
        <w:t>l</w:t>
      </w:r>
      <w:r w:rsidR="302CA16B" w:rsidRPr="00FC5B6A">
        <w:rPr>
          <w:rFonts w:eastAsiaTheme="minorEastAsia"/>
          <w:lang w:val="es-ES" w:eastAsia="es-CO"/>
        </w:rPr>
        <w:t>a deforestación establece que “</w:t>
      </w:r>
      <w:r w:rsidR="302CA16B" w:rsidRPr="00FC5B6A">
        <w:rPr>
          <w:rFonts w:eastAsiaTheme="minorEastAsia"/>
          <w:i/>
          <w:iCs/>
          <w:lang w:val="es-ES" w:eastAsia="es-CO"/>
        </w:rPr>
        <w:t>El Estado colombiano seguirá estableciendo y ejecutando políticas públicas en el territorio nacional, encaminadas a concretar estrategias y acciones de intervención integral con enfoque social, ambiental y económico para detener la deforestación, y bajo los principios de justicia ambiental, inclusión y construcción de la paz.</w:t>
      </w:r>
      <w:r w:rsidR="302CA16B" w:rsidRPr="00FC5B6A">
        <w:rPr>
          <w:rFonts w:eastAsiaTheme="minorEastAsia"/>
          <w:lang w:val="es-ES" w:eastAsia="es-CO"/>
        </w:rPr>
        <w:t>"</w:t>
      </w:r>
      <w:r w:rsidR="6ED1869C" w:rsidRPr="00FC5B6A">
        <w:rPr>
          <w:rFonts w:eastAsiaTheme="minorEastAsia"/>
          <w:lang w:val="es-ES" w:eastAsia="es-CO"/>
        </w:rPr>
        <w:t xml:space="preserve">, creándose allí el Consejo Nacional de Lucha contra la Deforestación y otros crímenes ambientales asociados que se constituyen en motores de deforestación, </w:t>
      </w:r>
      <w:r w:rsidR="008107B7" w:rsidRPr="00FC5B6A">
        <w:rPr>
          <w:rFonts w:eastAsiaTheme="minorEastAsia"/>
          <w:lang w:val="es-ES" w:eastAsia="es-CO"/>
        </w:rPr>
        <w:t>destacándose</w:t>
      </w:r>
      <w:r w:rsidR="6ED1869C" w:rsidRPr="00FC5B6A">
        <w:rPr>
          <w:rFonts w:eastAsiaTheme="minorEastAsia"/>
          <w:lang w:val="es-ES" w:eastAsia="es-CO"/>
        </w:rPr>
        <w:t xml:space="preserve"> dentro de sus funciones:</w:t>
      </w:r>
      <w:r w:rsidR="0EF0E67C" w:rsidRPr="00FC5B6A">
        <w:rPr>
          <w:rFonts w:eastAsiaTheme="minorEastAsia"/>
          <w:lang w:val="es-ES" w:eastAsia="es-CO"/>
        </w:rPr>
        <w:t xml:space="preserve"> “</w:t>
      </w:r>
      <w:r w:rsidR="0EF0E67C" w:rsidRPr="00FC5B6A">
        <w:rPr>
          <w:rFonts w:eastAsiaTheme="minorEastAsia"/>
          <w:i/>
          <w:iCs/>
          <w:lang w:val="es-ES" w:eastAsia="es-CO"/>
        </w:rPr>
        <w:t>2. Articular junto con los institutos de investigación científica que integran el SINA, la formulación y ejecución de nuevas estrategias y acciones de rehabilitación, recuperación y restauración ecológica</w:t>
      </w:r>
      <w:r w:rsidR="0EF0E67C" w:rsidRPr="00FC5B6A">
        <w:rPr>
          <w:rFonts w:eastAsiaTheme="minorEastAsia"/>
          <w:lang w:val="es-ES" w:eastAsia="es-CO"/>
        </w:rPr>
        <w:t>"</w:t>
      </w:r>
      <w:r w:rsidR="00CB31D8" w:rsidRPr="00FC5B6A">
        <w:rPr>
          <w:rFonts w:eastAsiaTheme="minorEastAsia"/>
          <w:lang w:val="es-ES" w:eastAsia="es-CO"/>
        </w:rPr>
        <w:t>.</w:t>
      </w:r>
    </w:p>
    <w:p w14:paraId="489B4548" w14:textId="3FB2F6B2" w:rsidR="006B5A73" w:rsidRPr="00FC5B6A" w:rsidRDefault="006B5A73" w:rsidP="005A4F56">
      <w:pPr>
        <w:spacing w:after="0" w:line="240" w:lineRule="auto"/>
        <w:jc w:val="both"/>
        <w:rPr>
          <w:rFonts w:eastAsiaTheme="minorEastAsia"/>
          <w:lang w:val="es" w:eastAsia="es-CO"/>
        </w:rPr>
      </w:pPr>
    </w:p>
    <w:p w14:paraId="7345105B" w14:textId="61B2D68E" w:rsidR="000E066A" w:rsidRPr="00FC5B6A" w:rsidRDefault="001B4F7C" w:rsidP="005A4F56">
      <w:pPr>
        <w:spacing w:after="0" w:line="240" w:lineRule="auto"/>
        <w:jc w:val="both"/>
      </w:pPr>
      <w:r w:rsidRPr="00FC5B6A">
        <w:lastRenderedPageBreak/>
        <w:t>Teniendo en c</w:t>
      </w:r>
      <w:r w:rsidR="0079211C" w:rsidRPr="00FC5B6A">
        <w:t>uenta las</w:t>
      </w:r>
      <w:r w:rsidR="000E066A" w:rsidRPr="00FC5B6A">
        <w:t xml:space="preserve"> consideraciones </w:t>
      </w:r>
      <w:r w:rsidR="008E0012" w:rsidRPr="00FC5B6A">
        <w:t xml:space="preserve">previas, </w:t>
      </w:r>
      <w:r w:rsidR="000E066A" w:rsidRPr="00FC5B6A">
        <w:t>existen lineamientos generales respecto a la zonificación ambiental y el ordenamiento</w:t>
      </w:r>
      <w:r w:rsidR="0079211C" w:rsidRPr="00FC5B6A">
        <w:t xml:space="preserve"> de las </w:t>
      </w:r>
      <w:r w:rsidR="00CB31D8" w:rsidRPr="00FC5B6A">
        <w:t>Á</w:t>
      </w:r>
      <w:r w:rsidR="0079211C" w:rsidRPr="00FC5B6A">
        <w:t>reas de reserva forestal de la Ley 2 de 1959</w:t>
      </w:r>
      <w:r w:rsidR="008107B7" w:rsidRPr="00FC5B6A">
        <w:t>;</w:t>
      </w:r>
      <w:r w:rsidR="000E066A" w:rsidRPr="00FC5B6A">
        <w:t xml:space="preserve"> estos se enmarcan en </w:t>
      </w:r>
      <w:r w:rsidR="0079211C" w:rsidRPr="00FC5B6A">
        <w:t>sus</w:t>
      </w:r>
      <w:r w:rsidR="000E066A" w:rsidRPr="00FC5B6A">
        <w:t xml:space="preserve"> objetivos</w:t>
      </w:r>
      <w:r w:rsidR="00036795" w:rsidRPr="00FC5B6A">
        <w:t>, donde el componente bosque y sus servicios ecosistémicos son el eje transversal de la conservación,</w:t>
      </w:r>
      <w:r w:rsidR="000E066A" w:rsidRPr="00FC5B6A">
        <w:t xml:space="preserve"> y que de manera general corresponden a:</w:t>
      </w:r>
    </w:p>
    <w:p w14:paraId="647F9456" w14:textId="5E0EE2D2" w:rsidR="00C82626" w:rsidRPr="00FC5B6A" w:rsidRDefault="0072104B" w:rsidP="005A4F56">
      <w:pPr>
        <w:pStyle w:val="Prrafodelista"/>
        <w:numPr>
          <w:ilvl w:val="0"/>
          <w:numId w:val="14"/>
        </w:numPr>
        <w:rPr>
          <w:rFonts w:cstheme="minorHAnsi"/>
          <w:sz w:val="22"/>
        </w:rPr>
      </w:pPr>
      <w:r w:rsidRPr="00FC5B6A">
        <w:rPr>
          <w:rFonts w:cstheme="minorHAnsi"/>
          <w:sz w:val="22"/>
        </w:rPr>
        <w:t xml:space="preserve">La importancia de los bosques en la generación de servicios ecosistémicos para el bienestar humano y la economía que gira en torno al </w:t>
      </w:r>
      <w:r w:rsidR="005E46F2" w:rsidRPr="00FC5B6A">
        <w:rPr>
          <w:rFonts w:cstheme="minorHAnsi"/>
          <w:sz w:val="22"/>
        </w:rPr>
        <w:t xml:space="preserve">manejo sostenible del bosque natural para la obtención de productos forestales maderables y no maderables </w:t>
      </w:r>
    </w:p>
    <w:p w14:paraId="18363422" w14:textId="3A8865D3" w:rsidR="00C82626" w:rsidRPr="00FC5B6A" w:rsidRDefault="005E46F2" w:rsidP="005A4F56">
      <w:pPr>
        <w:pStyle w:val="Prrafodelista"/>
        <w:numPr>
          <w:ilvl w:val="0"/>
          <w:numId w:val="14"/>
        </w:numPr>
        <w:rPr>
          <w:rFonts w:cstheme="minorHAnsi"/>
          <w:sz w:val="22"/>
        </w:rPr>
      </w:pPr>
      <w:r w:rsidRPr="00FC5B6A">
        <w:rPr>
          <w:sz w:val="22"/>
        </w:rPr>
        <w:t>La c</w:t>
      </w:r>
      <w:r w:rsidR="00C82626" w:rsidRPr="00FC5B6A">
        <w:rPr>
          <w:sz w:val="22"/>
        </w:rPr>
        <w:t xml:space="preserve">onservación de </w:t>
      </w:r>
      <w:r w:rsidRPr="00FC5B6A">
        <w:rPr>
          <w:rFonts w:cstheme="minorHAnsi"/>
          <w:sz w:val="22"/>
        </w:rPr>
        <w:t>r</w:t>
      </w:r>
      <w:r w:rsidR="00C82626" w:rsidRPr="00FC5B6A">
        <w:rPr>
          <w:rFonts w:cstheme="minorHAnsi"/>
          <w:sz w:val="22"/>
        </w:rPr>
        <w:t xml:space="preserve">ecursos </w:t>
      </w:r>
      <w:r w:rsidRPr="00FC5B6A">
        <w:rPr>
          <w:rFonts w:cstheme="minorHAnsi"/>
          <w:sz w:val="22"/>
        </w:rPr>
        <w:t>n</w:t>
      </w:r>
      <w:r w:rsidR="00C82626" w:rsidRPr="00FC5B6A">
        <w:rPr>
          <w:rFonts w:cstheme="minorHAnsi"/>
          <w:sz w:val="22"/>
        </w:rPr>
        <w:t xml:space="preserve">aturales </w:t>
      </w:r>
      <w:r w:rsidRPr="00FC5B6A">
        <w:rPr>
          <w:rFonts w:cstheme="minorHAnsi"/>
          <w:sz w:val="22"/>
        </w:rPr>
        <w:t>r</w:t>
      </w:r>
      <w:r w:rsidR="00C82626" w:rsidRPr="00FC5B6A">
        <w:rPr>
          <w:rFonts w:cstheme="minorHAnsi"/>
          <w:sz w:val="22"/>
        </w:rPr>
        <w:t>enovables</w:t>
      </w:r>
      <w:r w:rsidRPr="00FC5B6A">
        <w:rPr>
          <w:rFonts w:cstheme="minorHAnsi"/>
          <w:sz w:val="22"/>
        </w:rPr>
        <w:t xml:space="preserve">; entendida esta como la </w:t>
      </w:r>
      <w:r w:rsidR="00D96F1D" w:rsidRPr="00FC5B6A">
        <w:rPr>
          <w:rFonts w:cstheme="minorHAnsi"/>
          <w:sz w:val="22"/>
        </w:rPr>
        <w:t>interacción entre sistemas de preservación, restauración, uso sostenible y construcción de conocimiento e información</w:t>
      </w:r>
      <w:r w:rsidRPr="00FC5B6A">
        <w:rPr>
          <w:rFonts w:cstheme="minorHAnsi"/>
          <w:sz w:val="22"/>
        </w:rPr>
        <w:t>.</w:t>
      </w:r>
    </w:p>
    <w:p w14:paraId="0341564E" w14:textId="77777777" w:rsidR="00C82626" w:rsidRPr="00FC5B6A" w:rsidRDefault="00C82626" w:rsidP="005A4F56">
      <w:pPr>
        <w:pStyle w:val="Prrafodelista"/>
        <w:rPr>
          <w:rFonts w:cstheme="minorHAnsi"/>
        </w:rPr>
      </w:pPr>
    </w:p>
    <w:p w14:paraId="4ACDD8AB" w14:textId="7F21BD9B" w:rsidR="00EB3B4D" w:rsidRDefault="00EB3B4D" w:rsidP="005A4F56">
      <w:pPr>
        <w:spacing w:after="0" w:line="240" w:lineRule="auto"/>
        <w:jc w:val="both"/>
      </w:pPr>
      <w:r w:rsidRPr="00FC5B6A">
        <w:t>Respecto a</w:t>
      </w:r>
      <w:r w:rsidR="005E46F2" w:rsidRPr="00FC5B6A">
        <w:t>l primer objetivo</w:t>
      </w:r>
      <w:r w:rsidR="00D90170" w:rsidRPr="00FC5B6A">
        <w:t>,</w:t>
      </w:r>
      <w:r w:rsidR="005E46F2" w:rsidRPr="00FC5B6A">
        <w:t xml:space="preserve"> correspond</w:t>
      </w:r>
      <w:r w:rsidR="00D90170" w:rsidRPr="00FC5B6A">
        <w:t>iente</w:t>
      </w:r>
      <w:r w:rsidR="005E46F2" w:rsidRPr="00FC5B6A">
        <w:t xml:space="preserve"> a</w:t>
      </w:r>
      <w:r w:rsidR="00240A04" w:rsidRPr="00FC5B6A">
        <w:t>l manejo sostenible del bosque</w:t>
      </w:r>
      <w:r w:rsidRPr="00FC5B6A">
        <w:t>, iniciamos retomando lo establecido en</w:t>
      </w:r>
      <w:r w:rsidR="00D90170" w:rsidRPr="00FC5B6A">
        <w:t xml:space="preserve"> el</w:t>
      </w:r>
      <w:r w:rsidRPr="00FC5B6A">
        <w:t xml:space="preserve"> CONPES 4021 de 2020</w:t>
      </w:r>
      <w:r w:rsidRPr="00FC5B6A">
        <w:rPr>
          <w:rStyle w:val="Refdenotaalpie"/>
        </w:rPr>
        <w:footnoteReference w:id="24"/>
      </w:r>
      <w:r w:rsidRPr="00FC5B6A">
        <w:t xml:space="preserve"> que expresa  “</w:t>
      </w:r>
      <w:r w:rsidRPr="00FC5B6A">
        <w:rPr>
          <w:i/>
          <w:iCs/>
        </w:rPr>
        <w:t>la importancia de los bosques para el bienestar humano por todos los servicios ecosistémicos que estos prestan, así como su incalculable valor para las comunidades que dependen de ellos para su subsistencia</w:t>
      </w:r>
      <w:r w:rsidRPr="00FC5B6A">
        <w:t xml:space="preserve">”, </w:t>
      </w:r>
      <w:r w:rsidR="007E4D20" w:rsidRPr="00FC5B6A">
        <w:t>y su potencial económico “</w:t>
      </w:r>
      <w:r w:rsidR="007E4D20" w:rsidRPr="00FC5B6A">
        <w:rPr>
          <w:i/>
          <w:iCs/>
        </w:rPr>
        <w:t xml:space="preserve">actualmente se aprovechan cerca de 500 especies forestales, para un consumo aparente cercano a los 3,5 millones de metros cúbicos de madera por año y un subregistro del 40 %” </w:t>
      </w:r>
      <w:r w:rsidR="007E4D20" w:rsidRPr="00FC5B6A">
        <w:t xml:space="preserve">(Ministerio de Ambiente y Desarrollo Sostenible, 2020); </w:t>
      </w:r>
      <w:r w:rsidRPr="00FC5B6A">
        <w:t>pero a la vez las presiones de estos bosques que ocupan cerca del 52 % de su superficie terrestre, “</w:t>
      </w:r>
      <w:r w:rsidRPr="00FC5B6A">
        <w:rPr>
          <w:i/>
          <w:iCs/>
        </w:rPr>
        <w:t>causadas por las actividades humanas, y las diversas dinámicas y complejidades territoriales, se estima que entre el 2000 y el 2019 se perdieron cerca de 2,8 millones de hectáreas de bosque</w:t>
      </w:r>
      <w:r w:rsidRPr="00FC5B6A">
        <w:t>”.</w:t>
      </w:r>
    </w:p>
    <w:p w14:paraId="581E1AA6" w14:textId="77777777" w:rsidR="005A4F56" w:rsidRPr="00FC5B6A" w:rsidRDefault="005A4F56" w:rsidP="005A4F56">
      <w:pPr>
        <w:spacing w:after="0" w:line="240" w:lineRule="auto"/>
        <w:jc w:val="both"/>
        <w:rPr>
          <w:rFonts w:cstheme="minorHAnsi"/>
        </w:rPr>
      </w:pPr>
    </w:p>
    <w:p w14:paraId="559DFA87" w14:textId="19B775EA" w:rsidR="006146CE" w:rsidRDefault="007E4D20" w:rsidP="005A4F56">
      <w:pPr>
        <w:spacing w:after="0" w:line="240" w:lineRule="auto"/>
        <w:jc w:val="both"/>
        <w:rPr>
          <w:rFonts w:cstheme="minorHAnsi"/>
        </w:rPr>
      </w:pPr>
      <w:r w:rsidRPr="00FC5B6A">
        <w:t>Precisamente</w:t>
      </w:r>
      <w:r w:rsidR="00C042CB" w:rsidRPr="00FC5B6A">
        <w:t>,</w:t>
      </w:r>
      <w:r w:rsidRPr="00FC5B6A">
        <w:t xml:space="preserve"> cerca del 60%</w:t>
      </w:r>
      <w:r w:rsidRPr="00FC5B6A">
        <w:rPr>
          <w:rStyle w:val="Refdenotaalpie"/>
        </w:rPr>
        <w:footnoteReference w:id="25"/>
      </w:r>
      <w:r w:rsidRPr="00FC5B6A">
        <w:t xml:space="preserve"> de los bosques del país se encuentran en las áreas de reserva forestal de la Ley 2 de 1959</w:t>
      </w:r>
      <w:r w:rsidR="00A21EF0" w:rsidRPr="00FC5B6A">
        <w:t xml:space="preserve"> (ver siguiente </w:t>
      </w:r>
      <w:r w:rsidR="00784A20" w:rsidRPr="00FC5B6A">
        <w:t>figura</w:t>
      </w:r>
      <w:r w:rsidR="00A21EF0" w:rsidRPr="00FC5B6A">
        <w:t>)</w:t>
      </w:r>
      <w:r w:rsidR="003D704D" w:rsidRPr="00FC5B6A">
        <w:t xml:space="preserve">, que representan </w:t>
      </w:r>
      <w:r w:rsidRPr="00FC5B6A">
        <w:t>cerca de</w:t>
      </w:r>
      <w:r w:rsidR="003D704D" w:rsidRPr="00FC5B6A">
        <w:t>l 42% del área continental</w:t>
      </w:r>
      <w:r w:rsidRPr="00FC5B6A">
        <w:t xml:space="preserve"> </w:t>
      </w:r>
      <w:r w:rsidR="003D704D" w:rsidRPr="00FC5B6A">
        <w:t>(48</w:t>
      </w:r>
      <w:r w:rsidR="0070337D" w:rsidRPr="00FC5B6A">
        <w:t xml:space="preserve"> millones de </w:t>
      </w:r>
      <w:r w:rsidR="00A516C7" w:rsidRPr="00FC5B6A">
        <w:t>hectáreas de la cuales cerca del 77% tiene decisión de ordenamiento)</w:t>
      </w:r>
      <w:r w:rsidR="00A516C7" w:rsidRPr="00FC5B6A">
        <w:rPr>
          <w:rStyle w:val="Refdenotaalpie"/>
        </w:rPr>
        <w:footnoteReference w:id="26"/>
      </w:r>
      <w:r w:rsidR="003D704D" w:rsidRPr="00FC5B6A">
        <w:t>, distribuidos estos bosques según lo expresa CONPES 4021 de 2020 en la reserva forestal de la Amazonia (</w:t>
      </w:r>
      <w:r w:rsidR="0070337D" w:rsidRPr="00FC5B6A">
        <w:t>80%</w:t>
      </w:r>
      <w:r w:rsidR="003D704D" w:rsidRPr="00FC5B6A">
        <w:t>), la del Pacifico (</w:t>
      </w:r>
      <w:r w:rsidR="0070337D" w:rsidRPr="00FC5B6A">
        <w:t>14%</w:t>
      </w:r>
      <w:r w:rsidR="003D704D" w:rsidRPr="00FC5B6A">
        <w:t xml:space="preserve">), la del Rio Magdalena, la Central, la del Cocuy, la </w:t>
      </w:r>
      <w:r w:rsidR="0070337D" w:rsidRPr="00FC5B6A">
        <w:t xml:space="preserve">Serranía </w:t>
      </w:r>
      <w:r w:rsidR="003D704D" w:rsidRPr="00FC5B6A">
        <w:t>de los Motilones</w:t>
      </w:r>
      <w:r w:rsidR="0070337D" w:rsidRPr="00FC5B6A">
        <w:t>,</w:t>
      </w:r>
      <w:r w:rsidR="003D704D" w:rsidRPr="00FC5B6A">
        <w:t xml:space="preserve"> y la Sierra Nevada de Santa Marta</w:t>
      </w:r>
      <w:r w:rsidR="00A516C7" w:rsidRPr="00FC5B6A">
        <w:t>; y donde se estima “</w:t>
      </w:r>
      <w:r w:rsidR="00A516C7" w:rsidRPr="00FC5B6A">
        <w:rPr>
          <w:i/>
          <w:iCs/>
        </w:rPr>
        <w:t>que en el interior de las reservas forestales viven 2,8 millones de personas</w:t>
      </w:r>
      <w:r w:rsidR="00A516C7" w:rsidRPr="00FC5B6A">
        <w:t>” (Extraído de CONPES 4021 de 2020, página 28)</w:t>
      </w:r>
      <w:r w:rsidR="0070337D" w:rsidRPr="00FC5B6A">
        <w:t>.</w:t>
      </w:r>
    </w:p>
    <w:p w14:paraId="42781EBC" w14:textId="2F2CBCEF" w:rsidR="006146CE" w:rsidRDefault="005A4CDE" w:rsidP="005A4CDE">
      <w:pPr>
        <w:pStyle w:val="Ttulo1"/>
      </w:pPr>
      <w:bookmarkStart w:id="113" w:name="_Toc224921370"/>
      <w:r>
        <w:t>Espacios de participación sostenidos</w:t>
      </w:r>
      <w:bookmarkEnd w:id="113"/>
    </w:p>
    <w:p w14:paraId="214AB5B6" w14:textId="77777777" w:rsidR="004F628F" w:rsidRDefault="004F628F" w:rsidP="005A4F56">
      <w:pPr>
        <w:spacing w:after="0" w:line="240" w:lineRule="auto"/>
        <w:jc w:val="both"/>
      </w:pPr>
    </w:p>
    <w:p w14:paraId="4E8B0004" w14:textId="1A78A47B" w:rsidR="00FE492A" w:rsidRDefault="00FE492A" w:rsidP="005A4F56">
      <w:pPr>
        <w:spacing w:after="0" w:line="240" w:lineRule="auto"/>
        <w:jc w:val="both"/>
      </w:pPr>
      <w:r>
        <w:t xml:space="preserve">Del 4 al 8 de agosto de 2025. Acuerdo por la dignidad del campesinado de alta ladera y páramo como sujeto de especial protección constitucional, protector del agua, y defensor del páramo como ecosistema estratégico en el marco de la movilización campesina.  Este Ministerio como parte de los compromisos adquiridos:  debería realizar el estudio de revocatoria de resoluciones ambientales. Se iniciará el procedimiento jurídico para revisar las resoluciones 1275 de 2014 que adopta la zonificación ambiental y el ordenamiento de la Reserva forestal del Cocuy y, la 1405 del 2018, que delimita el área de páramo Sierra Nevada El Cocuy. Esto, sin perjuicio de que </w:t>
      </w:r>
      <w:proofErr w:type="gramStart"/>
      <w:r>
        <w:t>bajo ninguna circunstancia</w:t>
      </w:r>
      <w:proofErr w:type="gramEnd"/>
      <w:r>
        <w:t xml:space="preserve"> el páramo quedará desprovisto de un instrumento de protección y control ambiental </w:t>
      </w:r>
      <w:r>
        <w:lastRenderedPageBreak/>
        <w:t>frente a actividades de alto impacto, particularmente la minería y los hidrocarburos. Estado de avance Cumplido.</w:t>
      </w:r>
    </w:p>
    <w:p w14:paraId="6258E594" w14:textId="5FA6A2C0" w:rsidR="00FE492A" w:rsidRDefault="00FE492A" w:rsidP="005A4F56">
      <w:pPr>
        <w:spacing w:after="0" w:line="240" w:lineRule="auto"/>
        <w:jc w:val="both"/>
      </w:pPr>
      <w:r>
        <w:t xml:space="preserve">Al respecto, el Ministerio en agosto de 2025 emitió un memorando interno para las dependencias responsables para la realización de los análisis solicitados, una vez se obtuvieron los resultados de los análisis técnicos y jurídicos correspondientes, los cuales surtieron los trámites administrativos que corresponden. </w:t>
      </w:r>
    </w:p>
    <w:p w14:paraId="1C07A891" w14:textId="22E796E1" w:rsidR="00FE492A" w:rsidRDefault="00FE492A" w:rsidP="005A4F56">
      <w:pPr>
        <w:spacing w:after="0" w:line="240" w:lineRule="auto"/>
        <w:jc w:val="both"/>
      </w:pPr>
      <w:r>
        <w:t xml:space="preserve">Asimismo, este Ministerio ha desarrollado los espacios de diálogo y concertación con la Federación de Parameros del Nororiente Colombiano- Seccional </w:t>
      </w:r>
      <w:proofErr w:type="gramStart"/>
      <w:r>
        <w:t>Cocuy  y</w:t>
      </w:r>
      <w:proofErr w:type="gramEnd"/>
      <w:r>
        <w:t xml:space="preserve"> demás actores interesados obteniendo como resultados:  </w:t>
      </w:r>
    </w:p>
    <w:p w14:paraId="185A5526" w14:textId="50071605" w:rsidR="00FE492A" w:rsidRDefault="00FE492A" w:rsidP="005A4F56">
      <w:pPr>
        <w:spacing w:after="0" w:line="240" w:lineRule="auto"/>
        <w:jc w:val="both"/>
      </w:pPr>
      <w:r>
        <w:t xml:space="preserve">La construcción de  una propuesta normativa para el Ordenamiento Ambiental Participativo de la Reserva Forestal del Cocuy que busca: </w:t>
      </w:r>
      <w:r w:rsidRPr="00FE492A">
        <w:rPr>
          <w:i/>
          <w:iCs/>
        </w:rPr>
        <w:t>“Por la cual se establecen los lineamientos para el ordenamiento participativo ambiental del área de reserva forestal del Cocuy establecida por la Ley 2 de 1959 y se dictan otras disposiciones”,</w:t>
      </w:r>
      <w:r>
        <w:t xml:space="preserve"> que busca armonizar los usos del territorio con el marco legal vigente, reconociendo las actividades agropecuarias familiares, campesinas y comunitarias bajo criterios de sostenibilidad y fortalecimiento del componente forestal.</w:t>
      </w:r>
    </w:p>
    <w:p w14:paraId="5C8141C9" w14:textId="77777777" w:rsidR="00FE492A" w:rsidRDefault="00FE492A" w:rsidP="005A4F56">
      <w:pPr>
        <w:spacing w:after="0" w:line="240" w:lineRule="auto"/>
        <w:jc w:val="both"/>
      </w:pPr>
      <w:r>
        <w:t>Esta propuesta no implica la eliminación del instrumento de protección ambiental, sino su ajuste mediante acto administrativo de igual jerarquía, conforme a lo dispuesto por el artículo 95 del CPACA.</w:t>
      </w:r>
    </w:p>
    <w:p w14:paraId="2B110ED8" w14:textId="3AE49974" w:rsidR="00FE492A" w:rsidRDefault="00FE492A" w:rsidP="005A4F56">
      <w:pPr>
        <w:spacing w:after="0" w:line="240" w:lineRule="auto"/>
        <w:jc w:val="both"/>
      </w:pPr>
      <w:r>
        <w:t xml:space="preserve">Entre octubre, noviembre y diciembre de 2025 se realizaron diez espacios presenciales y una virtual con participación de aproximadamente 650 personas, incluyendo comunidades locales, autoridades municipales, la Gobernación de Boyacá, UPTC y Corpoboyacá, para presentar y recoger aportes sobre los lineamientos del ordenamiento ambiental participativo. </w:t>
      </w:r>
    </w:p>
    <w:p w14:paraId="48732D57" w14:textId="6EDFD699" w:rsidR="00FE492A" w:rsidRDefault="00FE492A" w:rsidP="005A4F56">
      <w:pPr>
        <w:spacing w:after="0" w:line="240" w:lineRule="auto"/>
        <w:jc w:val="both"/>
      </w:pPr>
      <w:r>
        <w:t xml:space="preserve">Estos espacios han sido los siguientes: </w:t>
      </w:r>
    </w:p>
    <w:p w14:paraId="059F3747" w14:textId="77777777" w:rsidR="00FE492A" w:rsidRDefault="00FE492A" w:rsidP="005A4F56">
      <w:pPr>
        <w:spacing w:after="0" w:line="240" w:lineRule="auto"/>
        <w:jc w:val="both"/>
      </w:pPr>
      <w:r>
        <w:t>•</w:t>
      </w:r>
      <w:r>
        <w:tab/>
        <w:t xml:space="preserve">El 24 de octubre, se realizó reunión para   presentar avances a los compromisos adquiridos con la movilización campesina en agosto de 2025, con asistencia de Corpoboyacá, alcaldes de los municipios de Chiscas, Guacamaya, Cocuy y </w:t>
      </w:r>
      <w:proofErr w:type="spellStart"/>
      <w:r>
        <w:t>Panqueba</w:t>
      </w:r>
      <w:proofErr w:type="spellEnd"/>
      <w:r>
        <w:t xml:space="preserve"> del departamento de Boyacá, Defensoría del Pueblo y la Gobernación de Boyacá.</w:t>
      </w:r>
    </w:p>
    <w:p w14:paraId="48185C02" w14:textId="77777777" w:rsidR="00FE492A" w:rsidRDefault="00FE492A" w:rsidP="005A4F56">
      <w:pPr>
        <w:spacing w:after="0" w:line="240" w:lineRule="auto"/>
        <w:jc w:val="both"/>
      </w:pPr>
      <w:r>
        <w:t>•</w:t>
      </w:r>
      <w:r>
        <w:tab/>
        <w:t>El 30 de octubre, se sostuvo Mesa Jurídica sobre las resoluciones 1275 de 2014 y 1405 de 2018 con Corpoboyacá, la Universidad Pedagógica y Tecnológica de Colombia, Defensoría del Pueblo y la Gobernación de Boyacá.</w:t>
      </w:r>
    </w:p>
    <w:p w14:paraId="698EA1EC" w14:textId="77777777" w:rsidR="00FE492A" w:rsidRDefault="00FE492A" w:rsidP="005A4F56">
      <w:pPr>
        <w:spacing w:after="0" w:line="240" w:lineRule="auto"/>
        <w:jc w:val="both"/>
      </w:pPr>
      <w:r>
        <w:t>•</w:t>
      </w:r>
      <w:r>
        <w:tab/>
        <w:t xml:space="preserve">Del 4 al 8 de noviembre en los municipios de Güicán de la Sierra, </w:t>
      </w:r>
      <w:proofErr w:type="spellStart"/>
      <w:r>
        <w:t>Panqueba</w:t>
      </w:r>
      <w:proofErr w:type="spellEnd"/>
      <w:r>
        <w:t xml:space="preserve">, Cocuy, El Espino, Guacamayas y Chiscas se promovieron jornadas comunitarias en territorio para presentar la propuesta normativa “Por la cual se establecen los lineamientos para el ordenamiento participativo ambiental del área de reserva forestal del Cocuy establecida por la Ley 2 de 1959 y se dictan otras disposiciones”. </w:t>
      </w:r>
    </w:p>
    <w:p w14:paraId="1FE6DBD7" w14:textId="77777777" w:rsidR="00FE492A" w:rsidRDefault="00FE492A" w:rsidP="005A4F56">
      <w:pPr>
        <w:spacing w:after="0" w:line="240" w:lineRule="auto"/>
        <w:jc w:val="both"/>
      </w:pPr>
      <w:r>
        <w:t>•</w:t>
      </w:r>
      <w:r>
        <w:tab/>
        <w:t>El 26 de noviembre de 2025, se realizó la reunión para presentar los avances a los compromisos adquiridos con la movilización campesina en agosto de 2025, con asistencia de la Federación de Parameros, Corpoboyacá, alcaldes de los municipios de Boyacá, Defensoría del Pueblo, Contraloría General de la Nación, Procuraduría General de la Nación, UPTC y la Gobernación de Boyacá; allí se presentaron los avances hasta la fecha, teniendo en cuenta los resultados de los análisis técnicos y jurídicos sobre las resoluciones 1275 de 2014 y 1405 de 2018, de esta reunión se generaron los compromiso de trabajar en las jornadas del 9 y 10 de diciembre de 2025.</w:t>
      </w:r>
    </w:p>
    <w:p w14:paraId="768C794E" w14:textId="77777777" w:rsidR="00FE492A" w:rsidRDefault="00FE492A" w:rsidP="005A4F56">
      <w:pPr>
        <w:spacing w:after="0" w:line="240" w:lineRule="auto"/>
        <w:jc w:val="both"/>
      </w:pPr>
      <w:r>
        <w:t>•</w:t>
      </w:r>
      <w:r>
        <w:tab/>
        <w:t xml:space="preserve">El 9 de diciembre, se realizó Mesa Técnica para la discusión de la propuesta normativa: “Por la cual se establecen los lineamientos para el ordenamiento participativo ambiental del área de reserva forestal del Cocuy establecida por la Ley 2 de 1959 y se dictan otras disposiciones”, al espacio asistieron: la Federación de Parameros, </w:t>
      </w:r>
      <w:proofErr w:type="spellStart"/>
      <w:r>
        <w:t>Minagricultura</w:t>
      </w:r>
      <w:proofErr w:type="spellEnd"/>
      <w:r>
        <w:t>, Corpoboyacá, alcaldes de los municipios de Boyacá, Defensoría del Pueblo y la Gobernación de Boyacá.</w:t>
      </w:r>
    </w:p>
    <w:p w14:paraId="06169A01" w14:textId="77777777" w:rsidR="00FE492A" w:rsidRDefault="00FE492A" w:rsidP="005A4F56">
      <w:pPr>
        <w:spacing w:after="0" w:line="240" w:lineRule="auto"/>
        <w:jc w:val="both"/>
      </w:pPr>
      <w:r>
        <w:lastRenderedPageBreak/>
        <w:t>•</w:t>
      </w:r>
      <w:r>
        <w:tab/>
        <w:t>El 10 de diciembre, se realizó la Mesa Jurídica sobre la Resolución 1405 de 2018 con asistencia de la Federación de Parameros, Corpoboyacá, alcaldes de los municipios de Boyacá, Defensoría del Pueblo, Contraloría General de la Nación, Procuraduría General de la Nación y la Gobernación de Boyacá.</w:t>
      </w:r>
    </w:p>
    <w:p w14:paraId="1A9E5A84" w14:textId="4EAE70DB" w:rsidR="004F0800" w:rsidRDefault="00FE492A" w:rsidP="005A4F56">
      <w:pPr>
        <w:spacing w:after="0" w:line="240" w:lineRule="auto"/>
        <w:jc w:val="both"/>
      </w:pPr>
      <w:r>
        <w:t>•</w:t>
      </w:r>
      <w:r>
        <w:tab/>
        <w:t>El 19 de diciembre de 2025, se realiza reunión virtual técnica entre el Ministerio de Ambiente y Desarrollo Sostenible y Corpoboyacá, con el fin de revisar los aspectos de ordenamiento de la propuesta normativa “Por la cual se establecen los lineamientos para el ordenamiento participativo ambiental del área de reserva forestal del Cocuy establecida por la Ley 2 de 1959 y se dictan otras disposiciones”</w:t>
      </w:r>
    </w:p>
    <w:p w14:paraId="7531205B" w14:textId="1021CBFB" w:rsidR="00AF4E05" w:rsidRDefault="002067FA" w:rsidP="005A4F56">
      <w:pPr>
        <w:spacing w:after="0" w:line="240" w:lineRule="auto"/>
        <w:jc w:val="both"/>
      </w:pPr>
      <w:r>
        <w:t>•</w:t>
      </w:r>
      <w:r>
        <w:tab/>
        <w:t xml:space="preserve">El </w:t>
      </w:r>
      <w:r w:rsidR="00AF4E05" w:rsidRPr="00AF4E05">
        <w:t>29 de enero de 2026</w:t>
      </w:r>
      <w:r w:rsidR="00944E0A">
        <w:t>, se r</w:t>
      </w:r>
      <w:r w:rsidR="004F628F" w:rsidRPr="004F628F">
        <w:t>ealiza recorrido por la región del Cocuy con actores comunitarios</w:t>
      </w:r>
      <w:r w:rsidR="00944E0A">
        <w:t xml:space="preserve">, </w:t>
      </w:r>
      <w:r w:rsidR="00DA6971" w:rsidRPr="00DA6971">
        <w:t>Se verificó en campo mediante puntos de control la información geográfica de la propuesta normativa "Por la cual se establecen los lineamientos para el ordenamiento participativo ambiental del área de reserva forestal del Cocuy establecida por la Ley 2 de 1959 y se dictan otras disposiciones". Y se corroboró que esta corresponde a la realidad del territorio.</w:t>
      </w:r>
    </w:p>
    <w:p w14:paraId="6FE256CD" w14:textId="77777777" w:rsidR="002067FA" w:rsidRDefault="002067FA" w:rsidP="005A4F56">
      <w:pPr>
        <w:spacing w:after="0" w:line="240" w:lineRule="auto"/>
        <w:jc w:val="both"/>
      </w:pPr>
    </w:p>
    <w:p w14:paraId="085E6CDF" w14:textId="17D6FF59" w:rsidR="00DA6971" w:rsidRDefault="003377B4" w:rsidP="005A4F56">
      <w:pPr>
        <w:spacing w:after="0" w:line="240" w:lineRule="auto"/>
        <w:jc w:val="both"/>
      </w:pPr>
      <w:r>
        <w:t>•</w:t>
      </w:r>
      <w:r>
        <w:tab/>
        <w:t xml:space="preserve">El </w:t>
      </w:r>
      <w:r w:rsidRPr="003377B4">
        <w:t>30 de enero de 2026</w:t>
      </w:r>
      <w:r w:rsidR="00C95809">
        <w:t xml:space="preserve"> reunión en Cocuy, Boyacá </w:t>
      </w:r>
      <w:r w:rsidR="000B532A">
        <w:t>donde s</w:t>
      </w:r>
      <w:r w:rsidR="000B532A" w:rsidRPr="000B532A">
        <w:t>e presentaron los an</w:t>
      </w:r>
      <w:r w:rsidR="000B532A">
        <w:t>á</w:t>
      </w:r>
      <w:r w:rsidR="000B532A" w:rsidRPr="000B532A">
        <w:t>lisis y avances jurídicos y técnicos realizados frente al estudio de revocatoria de la resolución 1275 de 2014 y 1405 de 2018. Además</w:t>
      </w:r>
      <w:r w:rsidR="000B532A">
        <w:t>,</w:t>
      </w:r>
      <w:r w:rsidR="000B532A" w:rsidRPr="000B532A">
        <w:t xml:space="preserve"> se presentó la propuesta normativa "Por la cual se establecen los lineamientos para el ordenamiento participativo ambiental del área de reserva forestal del Cocuy establecida por la Ley 2 de 1959 y se dictan otras disposiciones" que derogar</w:t>
      </w:r>
      <w:r w:rsidR="000B532A">
        <w:t>í</w:t>
      </w:r>
      <w:r w:rsidR="000B532A" w:rsidRPr="000B532A">
        <w:t>a la Resolución 1275 de 2014.</w:t>
      </w:r>
    </w:p>
    <w:p w14:paraId="1A44DDC3" w14:textId="1FADDE04" w:rsidR="000B532A" w:rsidRDefault="006F6B3A" w:rsidP="005A4F56">
      <w:pPr>
        <w:spacing w:after="0" w:line="240" w:lineRule="auto"/>
        <w:jc w:val="both"/>
      </w:pPr>
      <w:r>
        <w:t>•</w:t>
      </w:r>
      <w:r>
        <w:tab/>
        <w:t>El</w:t>
      </w:r>
      <w:r w:rsidRPr="006F6B3A">
        <w:t xml:space="preserve"> 17 de febrero de 2026</w:t>
      </w:r>
      <w:r>
        <w:t xml:space="preserve"> </w:t>
      </w:r>
      <w:r w:rsidR="00CF1FDA">
        <w:t xml:space="preserve">en Bogotá, </w:t>
      </w:r>
      <w:r>
        <w:t>s</w:t>
      </w:r>
      <w:r w:rsidRPr="006F6B3A">
        <w:t>e presentaron los an</w:t>
      </w:r>
      <w:r>
        <w:t>á</w:t>
      </w:r>
      <w:r w:rsidRPr="006F6B3A">
        <w:t>lisis y avances jur</w:t>
      </w:r>
      <w:r>
        <w:t>í</w:t>
      </w:r>
      <w:r w:rsidRPr="006F6B3A">
        <w:t>dicos y t</w:t>
      </w:r>
      <w:r>
        <w:t>é</w:t>
      </w:r>
      <w:r w:rsidRPr="006F6B3A">
        <w:t xml:space="preserve">cnicos realizados frente al estudio de revocatoria de la resolución 1275 de 2014 con la propuesta normativa y dar respuesta a las propuestas de articulado de la Federación Nacional de Parameros del </w:t>
      </w:r>
      <w:proofErr w:type="spellStart"/>
      <w:r w:rsidRPr="006F6B3A">
        <w:t>Norioente</w:t>
      </w:r>
      <w:proofErr w:type="spellEnd"/>
      <w:r w:rsidRPr="006F6B3A">
        <w:t xml:space="preserve"> - Seccional Cocuy.</w:t>
      </w:r>
    </w:p>
    <w:p w14:paraId="30F7D44A" w14:textId="00E4728A" w:rsidR="006F6B3A" w:rsidRDefault="00CF1FDA" w:rsidP="005A4F56">
      <w:pPr>
        <w:spacing w:after="0" w:line="240" w:lineRule="auto"/>
        <w:jc w:val="both"/>
      </w:pPr>
      <w:r>
        <w:t>•</w:t>
      </w:r>
      <w:r>
        <w:tab/>
        <w:t xml:space="preserve">El </w:t>
      </w:r>
      <w:r w:rsidRPr="00CF1FDA">
        <w:t>02 de marzo de 2026</w:t>
      </w:r>
      <w:r>
        <w:t xml:space="preserve"> en Tunja, Boyacá. se presentaron los análisis y avances jurídicos y técnicos realizados frente al estudio de revocatoria de la resolución 1275 de 2014 y 1405 de 2018. Además, se presentó la propuesta normativa "Por la cual se establecen los lineamientos para el ordenamiento participativo ambiental del área de reserva forestal del Cocuy establecida por la Ley 2 de 1959 y se dictan otras disposiciones" que derogaría la Resolución 1275 de 2014.  Se acordó con los diferentes actores remitir los documentos técnicos de soporte de la propuesta normativa para su revisión. Asimismo, se recibieron relatos de actores de diferentes páramos sobre situaciones específicas.</w:t>
      </w:r>
    </w:p>
    <w:p w14:paraId="76CE71B2" w14:textId="7889DEF2" w:rsidR="00CF1FDA" w:rsidRDefault="00CF1FDA" w:rsidP="005A4F56">
      <w:pPr>
        <w:spacing w:after="0" w:line="240" w:lineRule="auto"/>
        <w:jc w:val="both"/>
      </w:pPr>
      <w:r>
        <w:t>•</w:t>
      </w:r>
      <w:r>
        <w:tab/>
        <w:t>El</w:t>
      </w:r>
      <w:r w:rsidR="005D7444">
        <w:t xml:space="preserve"> </w:t>
      </w:r>
      <w:r w:rsidR="005D7444" w:rsidRPr="005D7444">
        <w:t>12 de marzo de 2026</w:t>
      </w:r>
      <w:r w:rsidR="005D7444">
        <w:t xml:space="preserve"> se r</w:t>
      </w:r>
      <w:r w:rsidR="005D7444" w:rsidRPr="005D7444">
        <w:t>ealiz</w:t>
      </w:r>
      <w:r w:rsidR="005D7444">
        <w:t>ó una</w:t>
      </w:r>
      <w:r w:rsidR="005D7444" w:rsidRPr="005D7444">
        <w:t xml:space="preserve"> mesa de di</w:t>
      </w:r>
      <w:r w:rsidR="005D7444">
        <w:t>á</w:t>
      </w:r>
      <w:r w:rsidR="005D7444" w:rsidRPr="005D7444">
        <w:t xml:space="preserve">logo sobre </w:t>
      </w:r>
      <w:r w:rsidR="00E74796">
        <w:t xml:space="preserve">la </w:t>
      </w:r>
      <w:r w:rsidR="005D7444" w:rsidRPr="005D7444">
        <w:t>propuesta normativa "Por la cual se establecen los lineamientos para el ordenamiento participativo ambiental del área de reserva forestal del Cocuy establecida por la Ley 2 de 1959 y se dictan otras disposiciones"</w:t>
      </w:r>
      <w:r w:rsidR="005D7444">
        <w:t xml:space="preserve">, donde se generaron </w:t>
      </w:r>
      <w:r w:rsidR="005D7444" w:rsidRPr="005D7444">
        <w:t>aportes sobre el articulado de la propuesta normativa para la resolución 1275 de 2014</w:t>
      </w:r>
      <w:r w:rsidR="005D7444">
        <w:t>.</w:t>
      </w:r>
    </w:p>
    <w:p w14:paraId="0337BAE4" w14:textId="79FAD832" w:rsidR="005D7444" w:rsidRDefault="005D7444" w:rsidP="005A4F56">
      <w:pPr>
        <w:spacing w:after="0" w:line="240" w:lineRule="auto"/>
        <w:jc w:val="both"/>
      </w:pPr>
      <w:r>
        <w:t>•</w:t>
      </w:r>
      <w:r>
        <w:tab/>
        <w:t xml:space="preserve">El </w:t>
      </w:r>
      <w:r w:rsidR="00E74796">
        <w:t xml:space="preserve">17 de marzo de 2026, se realizó reunión en territorio sobre la </w:t>
      </w:r>
      <w:r w:rsidR="00E74796" w:rsidRPr="005D7444">
        <w:t>propuesta normativa "Por la cual se establecen los lineamientos para el ordenamiento participativo ambiental del área de reserva forestal del Cocuy establecida por la Ley 2 de 1959 y se dictan otras disposiciones"</w:t>
      </w:r>
      <w:r w:rsidR="00E74796">
        <w:t xml:space="preserve"> con la participación de las </w:t>
      </w:r>
      <w:proofErr w:type="gramStart"/>
      <w:r w:rsidR="00E74796">
        <w:t>Ministras</w:t>
      </w:r>
      <w:proofErr w:type="gramEnd"/>
      <w:r w:rsidR="00E74796">
        <w:t xml:space="preserve"> de Ambiente y Agricultura donde se incluyeron algunas modificaciones al articulado y se acordó realizar nuevamente la publicación de la iniciativa normativa para comentarios.</w:t>
      </w:r>
    </w:p>
    <w:p w14:paraId="51837EAD" w14:textId="77777777" w:rsidR="006146CE" w:rsidRDefault="006146CE" w:rsidP="005A4F56">
      <w:pPr>
        <w:spacing w:after="0" w:line="240" w:lineRule="auto"/>
        <w:jc w:val="both"/>
        <w:rPr>
          <w:rFonts w:cstheme="minorHAnsi"/>
        </w:rPr>
      </w:pPr>
    </w:p>
    <w:p w14:paraId="535A65C7" w14:textId="77777777" w:rsidR="006146CE" w:rsidRDefault="006146CE" w:rsidP="005A4F56">
      <w:pPr>
        <w:spacing w:after="0" w:line="240" w:lineRule="auto"/>
        <w:jc w:val="both"/>
        <w:rPr>
          <w:rFonts w:cstheme="minorHAnsi"/>
        </w:rPr>
      </w:pPr>
    </w:p>
    <w:p w14:paraId="5814F97D" w14:textId="77777777" w:rsidR="006146CE" w:rsidRDefault="006146CE" w:rsidP="005A4F56">
      <w:pPr>
        <w:spacing w:after="0" w:line="240" w:lineRule="auto"/>
        <w:jc w:val="both"/>
        <w:rPr>
          <w:rFonts w:cstheme="minorHAnsi"/>
        </w:rPr>
      </w:pPr>
    </w:p>
    <w:p w14:paraId="130AF321" w14:textId="77777777" w:rsidR="006146CE" w:rsidRDefault="006146CE" w:rsidP="005A4F56">
      <w:pPr>
        <w:spacing w:after="0" w:line="240" w:lineRule="auto"/>
        <w:jc w:val="both"/>
        <w:rPr>
          <w:rFonts w:cstheme="minorHAnsi"/>
        </w:rPr>
      </w:pPr>
    </w:p>
    <w:p w14:paraId="664D1428" w14:textId="77777777" w:rsidR="006146CE" w:rsidRDefault="006146CE" w:rsidP="005A4F56">
      <w:pPr>
        <w:spacing w:after="0" w:line="240" w:lineRule="auto"/>
        <w:jc w:val="both"/>
        <w:rPr>
          <w:rFonts w:cstheme="minorHAnsi"/>
        </w:rPr>
      </w:pPr>
    </w:p>
    <w:p w14:paraId="456B9D1C" w14:textId="1322C523" w:rsidR="002F4617" w:rsidRPr="005A4F56" w:rsidRDefault="002F4617" w:rsidP="005A4F56">
      <w:pPr>
        <w:spacing w:after="0" w:line="240" w:lineRule="auto"/>
        <w:jc w:val="both"/>
      </w:pPr>
      <w:bookmarkStart w:id="114" w:name="_Hlk175127499"/>
      <w:bookmarkStart w:id="115" w:name="_Hlk175127549"/>
      <w:bookmarkStart w:id="116" w:name="_Hlk166166668"/>
      <w:bookmarkEnd w:id="114"/>
      <w:bookmarkEnd w:id="115"/>
      <w:bookmarkEnd w:id="116"/>
    </w:p>
    <w:sectPr w:rsidR="002F4617" w:rsidRPr="005A4F56">
      <w:headerReference w:type="default" r:id="rId17"/>
      <w:footerReference w:type="default" r:id="rId1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C1E34" w14:textId="77777777" w:rsidR="00D61DB4" w:rsidRDefault="00D61DB4" w:rsidP="00E160C3">
      <w:pPr>
        <w:spacing w:after="0" w:line="240" w:lineRule="auto"/>
      </w:pPr>
      <w:r>
        <w:separator/>
      </w:r>
    </w:p>
  </w:endnote>
  <w:endnote w:type="continuationSeparator" w:id="0">
    <w:p w14:paraId="1207157D" w14:textId="77777777" w:rsidR="00D61DB4" w:rsidRDefault="00D61DB4" w:rsidP="00E160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lte Haas Grotesk">
    <w:altName w:val="Cambria"/>
    <w:charset w:val="00"/>
    <w:family w:val="auto"/>
    <w:pitch w:val="variable"/>
    <w:sig w:usb0="A000006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79984"/>
      <w:docPartObj>
        <w:docPartGallery w:val="Page Numbers (Bottom of Page)"/>
        <w:docPartUnique/>
      </w:docPartObj>
    </w:sdtPr>
    <w:sdtContent>
      <w:p w14:paraId="6C914184" w14:textId="4AA98440" w:rsidR="00E160C3" w:rsidRDefault="00E160C3">
        <w:pPr>
          <w:pStyle w:val="Piedepgina"/>
          <w:jc w:val="right"/>
        </w:pPr>
        <w:r>
          <w:fldChar w:fldCharType="begin"/>
        </w:r>
        <w:r>
          <w:instrText>PAGE   \* MERGEFORMAT</w:instrText>
        </w:r>
        <w:r>
          <w:fldChar w:fldCharType="separate"/>
        </w:r>
        <w:r>
          <w:rPr>
            <w:lang w:val="es-ES"/>
          </w:rPr>
          <w:t>2</w:t>
        </w:r>
        <w:r>
          <w:fldChar w:fldCharType="end"/>
        </w:r>
      </w:p>
    </w:sdtContent>
  </w:sdt>
  <w:p w14:paraId="0C659EF2" w14:textId="77777777" w:rsidR="00E160C3" w:rsidRDefault="00E160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E9AB9" w14:textId="77777777" w:rsidR="00D61DB4" w:rsidRDefault="00D61DB4" w:rsidP="00E160C3">
      <w:pPr>
        <w:spacing w:after="0" w:line="240" w:lineRule="auto"/>
      </w:pPr>
      <w:r>
        <w:separator/>
      </w:r>
    </w:p>
  </w:footnote>
  <w:footnote w:type="continuationSeparator" w:id="0">
    <w:p w14:paraId="7464FD83" w14:textId="77777777" w:rsidR="00D61DB4" w:rsidRDefault="00D61DB4" w:rsidP="00E160C3">
      <w:pPr>
        <w:spacing w:after="0" w:line="240" w:lineRule="auto"/>
      </w:pPr>
      <w:r>
        <w:continuationSeparator/>
      </w:r>
    </w:p>
  </w:footnote>
  <w:footnote w:id="1">
    <w:p w14:paraId="6B33EBC6" w14:textId="08C07510" w:rsidR="00031770" w:rsidRPr="00DB512B" w:rsidRDefault="00031770">
      <w:pPr>
        <w:pStyle w:val="Textonotapie"/>
        <w:rPr>
          <w:lang w:val="es-ES"/>
        </w:rPr>
      </w:pPr>
      <w:r>
        <w:rPr>
          <w:rStyle w:val="Refdenotaalpie"/>
        </w:rPr>
        <w:footnoteRef/>
      </w:r>
      <w:r>
        <w:t xml:space="preserve"> </w:t>
      </w:r>
      <w:r w:rsidRPr="00031770">
        <w:t xml:space="preserve">Tomado de: </w:t>
      </w:r>
      <w:proofErr w:type="spellStart"/>
      <w:r w:rsidRPr="00031770">
        <w:t>Minambiente</w:t>
      </w:r>
      <w:proofErr w:type="spellEnd"/>
      <w:r w:rsidRPr="00031770">
        <w:t>. 2023. Especificación Técnica Páramos Delimitados Escala 1:100.000 y 1:25.000.</w:t>
      </w:r>
    </w:p>
  </w:footnote>
  <w:footnote w:id="2">
    <w:p w14:paraId="34808D97" w14:textId="0EE50867" w:rsidR="00031770" w:rsidRPr="00DB512B" w:rsidRDefault="00031770">
      <w:pPr>
        <w:pStyle w:val="Textonotapie"/>
        <w:rPr>
          <w:lang w:val="es-ES"/>
        </w:rPr>
      </w:pPr>
      <w:r>
        <w:rPr>
          <w:rStyle w:val="Refdenotaalpie"/>
        </w:rPr>
        <w:footnoteRef/>
      </w:r>
      <w:r>
        <w:t xml:space="preserve"> </w:t>
      </w:r>
      <w:r>
        <w:rPr>
          <w:lang w:val="es-ES"/>
        </w:rPr>
        <w:t xml:space="preserve">Tomado de: Minambiente. 2023. </w:t>
      </w:r>
      <w:r w:rsidRPr="00031770">
        <w:rPr>
          <w:lang w:val="es-ES"/>
        </w:rPr>
        <w:t>Especificación Técnica Páramos Delimitados Escala 1:100.000 y 1:25.000</w:t>
      </w:r>
      <w:r>
        <w:rPr>
          <w:lang w:val="es-ES"/>
        </w:rPr>
        <w:t xml:space="preserve">. </w:t>
      </w:r>
    </w:p>
  </w:footnote>
  <w:footnote w:id="3">
    <w:p w14:paraId="55E9E8B8" w14:textId="1BCDE87B" w:rsidR="22DF84DA" w:rsidRPr="000C325D" w:rsidRDefault="22DF84DA" w:rsidP="00E74796">
      <w:pPr>
        <w:spacing w:after="0" w:line="240" w:lineRule="auto"/>
        <w:rPr>
          <w:sz w:val="18"/>
          <w:szCs w:val="18"/>
        </w:rPr>
      </w:pPr>
      <w:r w:rsidRPr="000C325D">
        <w:rPr>
          <w:sz w:val="18"/>
          <w:szCs w:val="18"/>
        </w:rPr>
        <w:footnoteRef/>
      </w:r>
      <w:r w:rsidRPr="000C325D">
        <w:rPr>
          <w:sz w:val="18"/>
          <w:szCs w:val="18"/>
        </w:rPr>
        <w:t xml:space="preserve"> En los municipios de Carcasí y Concepción</w:t>
      </w:r>
    </w:p>
  </w:footnote>
  <w:footnote w:id="4">
    <w:p w14:paraId="34F47B4E" w14:textId="628D1268" w:rsidR="22DF84DA" w:rsidRPr="000C325D" w:rsidRDefault="22DF84DA" w:rsidP="00E74796">
      <w:pPr>
        <w:spacing w:after="0" w:line="240" w:lineRule="auto"/>
        <w:rPr>
          <w:sz w:val="18"/>
          <w:szCs w:val="18"/>
        </w:rPr>
      </w:pPr>
      <w:r w:rsidRPr="000C325D">
        <w:rPr>
          <w:sz w:val="18"/>
          <w:szCs w:val="18"/>
        </w:rPr>
        <w:footnoteRef/>
      </w:r>
      <w:r w:rsidRPr="000C325D">
        <w:rPr>
          <w:sz w:val="18"/>
          <w:szCs w:val="18"/>
        </w:rPr>
        <w:t xml:space="preserve"> En los municipios de Chitagá, Herrán, </w:t>
      </w:r>
      <w:proofErr w:type="spellStart"/>
      <w:r w:rsidRPr="000C325D">
        <w:rPr>
          <w:sz w:val="18"/>
          <w:szCs w:val="18"/>
        </w:rPr>
        <w:t>Labateca</w:t>
      </w:r>
      <w:proofErr w:type="spellEnd"/>
      <w:r w:rsidRPr="000C325D">
        <w:rPr>
          <w:sz w:val="18"/>
          <w:szCs w:val="18"/>
        </w:rPr>
        <w:t xml:space="preserve"> y Toledo</w:t>
      </w:r>
    </w:p>
  </w:footnote>
  <w:footnote w:id="5">
    <w:p w14:paraId="4A9DC7FB" w14:textId="1E96A851" w:rsidR="22DF84DA" w:rsidRPr="000C325D" w:rsidRDefault="22DF84DA" w:rsidP="00E74796">
      <w:pPr>
        <w:spacing w:after="0" w:line="240" w:lineRule="auto"/>
        <w:rPr>
          <w:sz w:val="18"/>
          <w:szCs w:val="18"/>
        </w:rPr>
      </w:pPr>
      <w:r w:rsidRPr="000C325D">
        <w:rPr>
          <w:sz w:val="18"/>
          <w:szCs w:val="18"/>
        </w:rPr>
        <w:footnoteRef/>
      </w:r>
      <w:r w:rsidRPr="000C325D">
        <w:rPr>
          <w:sz w:val="18"/>
          <w:szCs w:val="18"/>
        </w:rPr>
        <w:t xml:space="preserve"> En los municipios de Fortul, Saravena </w:t>
      </w:r>
      <w:proofErr w:type="gramStart"/>
      <w:r w:rsidRPr="000C325D">
        <w:rPr>
          <w:sz w:val="18"/>
          <w:szCs w:val="18"/>
        </w:rPr>
        <w:t>y  Tame</w:t>
      </w:r>
      <w:proofErr w:type="gramEnd"/>
    </w:p>
  </w:footnote>
  <w:footnote w:id="6">
    <w:p w14:paraId="1DD423F7" w14:textId="2137E8A6" w:rsidR="22DF84DA" w:rsidRPr="000C325D" w:rsidRDefault="22DF84DA" w:rsidP="00E74796">
      <w:pPr>
        <w:spacing w:after="0" w:line="240" w:lineRule="auto"/>
        <w:rPr>
          <w:sz w:val="18"/>
          <w:szCs w:val="18"/>
        </w:rPr>
      </w:pPr>
      <w:r w:rsidRPr="000C325D">
        <w:rPr>
          <w:sz w:val="18"/>
          <w:szCs w:val="18"/>
        </w:rPr>
        <w:footnoteRef/>
      </w:r>
      <w:r w:rsidRPr="000C325D">
        <w:rPr>
          <w:sz w:val="18"/>
          <w:szCs w:val="18"/>
        </w:rPr>
        <w:t xml:space="preserve"> En el municipio de la Salina</w:t>
      </w:r>
    </w:p>
  </w:footnote>
  <w:footnote w:id="7">
    <w:p w14:paraId="3E961917" w14:textId="2FF4323B" w:rsidR="22DF84DA" w:rsidRDefault="22DF84DA" w:rsidP="00E74796">
      <w:pPr>
        <w:spacing w:after="0" w:line="240" w:lineRule="auto"/>
      </w:pPr>
      <w:r w:rsidRPr="000C325D">
        <w:rPr>
          <w:sz w:val="18"/>
          <w:szCs w:val="18"/>
        </w:rPr>
        <w:footnoteRef/>
      </w:r>
      <w:r w:rsidRPr="000C325D">
        <w:rPr>
          <w:sz w:val="18"/>
          <w:szCs w:val="18"/>
        </w:rPr>
        <w:t xml:space="preserve"> En los municipios de Chiscas, Chita, Cubará, El Cocuy, Guacamayas, </w:t>
      </w:r>
      <w:proofErr w:type="spellStart"/>
      <w:r w:rsidRPr="000C325D">
        <w:rPr>
          <w:sz w:val="18"/>
          <w:szCs w:val="18"/>
        </w:rPr>
        <w:t>Güican</w:t>
      </w:r>
      <w:proofErr w:type="spellEnd"/>
      <w:r w:rsidRPr="000C325D">
        <w:rPr>
          <w:sz w:val="18"/>
          <w:szCs w:val="18"/>
        </w:rPr>
        <w:t xml:space="preserve"> de la Sierra, La uvita, </w:t>
      </w:r>
      <w:proofErr w:type="spellStart"/>
      <w:r w:rsidRPr="000C325D">
        <w:rPr>
          <w:sz w:val="18"/>
          <w:szCs w:val="18"/>
        </w:rPr>
        <w:t>Panqueba</w:t>
      </w:r>
      <w:proofErr w:type="spellEnd"/>
      <w:r w:rsidRPr="000C325D">
        <w:rPr>
          <w:sz w:val="18"/>
          <w:szCs w:val="18"/>
        </w:rPr>
        <w:t xml:space="preserve"> y San Mateo</w:t>
      </w:r>
    </w:p>
  </w:footnote>
  <w:footnote w:id="8">
    <w:p w14:paraId="17BC26C2" w14:textId="6B9FBA7B" w:rsidR="22DF84DA" w:rsidRDefault="22DF84DA">
      <w:r>
        <w:footnoteRef/>
      </w:r>
      <w:r>
        <w:t xml:space="preserve"> Páramo de Sierra Nevada del Cocuy, Páramo de </w:t>
      </w:r>
      <w:proofErr w:type="spellStart"/>
      <w:r>
        <w:t>Táma</w:t>
      </w:r>
      <w:proofErr w:type="spellEnd"/>
      <w:r>
        <w:t xml:space="preserve"> y Páramo de Almorzadero</w:t>
      </w:r>
    </w:p>
  </w:footnote>
  <w:footnote w:id="9">
    <w:p w14:paraId="64E28A5E" w14:textId="64E09BE9" w:rsidR="22DF84DA" w:rsidRDefault="22DF84DA">
      <w:r w:rsidRPr="000C325D">
        <w:rPr>
          <w:sz w:val="18"/>
          <w:szCs w:val="18"/>
        </w:rPr>
        <w:footnoteRef/>
      </w:r>
      <w:r w:rsidRPr="000C325D">
        <w:rPr>
          <w:sz w:val="18"/>
          <w:szCs w:val="18"/>
        </w:rPr>
        <w:t xml:space="preserve"> Esto incluye Resguardos Indígenas Formalizados y áreas del Sistema Nacional de Áreas Protegidas</w:t>
      </w:r>
    </w:p>
  </w:footnote>
  <w:footnote w:id="10">
    <w:p w14:paraId="6D46C3A9" w14:textId="45F536CD" w:rsidR="22DF84DA" w:rsidRDefault="22DF84DA" w:rsidP="000C325D">
      <w:pPr>
        <w:spacing w:after="0" w:line="240" w:lineRule="auto"/>
      </w:pPr>
      <w:r>
        <w:footnoteRef/>
      </w:r>
      <w:r>
        <w:t xml:space="preserve"> </w:t>
      </w:r>
      <w:proofErr w:type="spellStart"/>
      <w:r>
        <w:t>Güican</w:t>
      </w:r>
      <w:proofErr w:type="spellEnd"/>
      <w:r>
        <w:t xml:space="preserve"> de la Sierra, Cocuy, Chita, Chiscas, Cubará, El Espino, Guacamayas, San Mateo y </w:t>
      </w:r>
      <w:proofErr w:type="spellStart"/>
      <w:r>
        <w:t>Panqueba</w:t>
      </w:r>
      <w:proofErr w:type="spellEnd"/>
    </w:p>
  </w:footnote>
  <w:footnote w:id="11">
    <w:p w14:paraId="7258276A" w14:textId="0C7E48CF" w:rsidR="22DF84DA" w:rsidRDefault="22DF84DA" w:rsidP="000C325D">
      <w:pPr>
        <w:spacing w:after="0" w:line="240" w:lineRule="auto"/>
      </w:pPr>
      <w:r>
        <w:footnoteRef/>
      </w:r>
      <w:r>
        <w:t xml:space="preserve"> Tame, Fortul, Saravena</w:t>
      </w:r>
    </w:p>
  </w:footnote>
  <w:footnote w:id="12">
    <w:p w14:paraId="4CE25EDC" w14:textId="673F3BAC" w:rsidR="22DF84DA" w:rsidRDefault="22DF84DA" w:rsidP="000C325D">
      <w:pPr>
        <w:spacing w:after="0" w:line="240" w:lineRule="auto"/>
      </w:pPr>
      <w:r>
        <w:footnoteRef/>
      </w:r>
      <w:r>
        <w:t xml:space="preserve"> Chitagá, Toledo, </w:t>
      </w:r>
      <w:proofErr w:type="spellStart"/>
      <w:r>
        <w:t>Labateca</w:t>
      </w:r>
      <w:proofErr w:type="spellEnd"/>
      <w:r>
        <w:t xml:space="preserve"> y Herrán</w:t>
      </w:r>
    </w:p>
  </w:footnote>
  <w:footnote w:id="13">
    <w:p w14:paraId="02855F86" w14:textId="2606670C" w:rsidR="22DF84DA" w:rsidRDefault="22DF84DA" w:rsidP="000C325D">
      <w:pPr>
        <w:spacing w:after="0" w:line="240" w:lineRule="auto"/>
      </w:pPr>
      <w:r>
        <w:footnoteRef/>
      </w:r>
      <w:r>
        <w:t xml:space="preserve"> Concepción y Carcasí</w:t>
      </w:r>
    </w:p>
  </w:footnote>
  <w:footnote w:id="14">
    <w:p w14:paraId="47F67BC3" w14:textId="46772938" w:rsidR="00345A0A" w:rsidRPr="00345A0A" w:rsidRDefault="00345A0A" w:rsidP="000C325D">
      <w:pPr>
        <w:pStyle w:val="Textonotapie"/>
        <w:rPr>
          <w:lang w:val="es-ES"/>
        </w:rPr>
      </w:pPr>
      <w:r>
        <w:rPr>
          <w:rStyle w:val="Refdenotaalpie"/>
        </w:rPr>
        <w:footnoteRef/>
      </w:r>
      <w:r>
        <w:t xml:space="preserve"> </w:t>
      </w:r>
      <w:r w:rsidRPr="00345A0A">
        <w:t>DANE (2023). Proyecciones de población municipal.</w:t>
      </w:r>
    </w:p>
  </w:footnote>
  <w:footnote w:id="15">
    <w:p w14:paraId="2F015C59" w14:textId="127DB301" w:rsidR="00345A0A" w:rsidRPr="00345A0A" w:rsidRDefault="00345A0A">
      <w:pPr>
        <w:pStyle w:val="Textonotapie"/>
        <w:rPr>
          <w:lang w:val="es-ES"/>
        </w:rPr>
      </w:pPr>
      <w:r>
        <w:rPr>
          <w:rStyle w:val="Refdenotaalpie"/>
        </w:rPr>
        <w:footnoteRef/>
      </w:r>
      <w:r>
        <w:t xml:space="preserve"> </w:t>
      </w:r>
      <w:r w:rsidRPr="00345A0A">
        <w:t>Corpoboyacá (2019). Diagnóstico socioambiental del Páramo de la Sierra Nevada del Cocuy.</w:t>
      </w:r>
    </w:p>
  </w:footnote>
  <w:footnote w:id="16">
    <w:p w14:paraId="6B98FCCA" w14:textId="766D4261" w:rsidR="00346949" w:rsidRPr="00346949" w:rsidRDefault="00346949">
      <w:pPr>
        <w:pStyle w:val="Textonotapie"/>
        <w:rPr>
          <w:lang w:val="es-ES"/>
        </w:rPr>
      </w:pPr>
      <w:r>
        <w:rPr>
          <w:rStyle w:val="Refdenotaalpie"/>
        </w:rPr>
        <w:footnoteRef/>
      </w:r>
      <w:r>
        <w:t xml:space="preserve"> </w:t>
      </w:r>
      <w:r w:rsidRPr="00346949">
        <w:t>Instituto Humboldt (2018). Informe nacional sobre el estado de los páramos en Colombia.</w:t>
      </w:r>
    </w:p>
  </w:footnote>
  <w:footnote w:id="17">
    <w:p w14:paraId="092454C9" w14:textId="60FB2231" w:rsidR="00346949" w:rsidRPr="00346949" w:rsidRDefault="00346949">
      <w:pPr>
        <w:pStyle w:val="Textonotapie"/>
        <w:rPr>
          <w:lang w:val="es-ES"/>
        </w:rPr>
      </w:pPr>
      <w:r>
        <w:rPr>
          <w:rStyle w:val="Refdenotaalpie"/>
        </w:rPr>
        <w:footnoteRef/>
      </w:r>
      <w:r>
        <w:t xml:space="preserve"> </w:t>
      </w:r>
      <w:r w:rsidRPr="00346949">
        <w:t>Parques Nacionales Naturales de Colombia (2020). Plan de manejo PNN El Cocuy</w:t>
      </w:r>
    </w:p>
  </w:footnote>
  <w:footnote w:id="18">
    <w:p w14:paraId="42ADC01E" w14:textId="2A8125B0" w:rsidR="00935B5D" w:rsidRPr="00935B5D" w:rsidRDefault="00935B5D">
      <w:pPr>
        <w:pStyle w:val="Textonotapie"/>
        <w:rPr>
          <w:lang w:val="es-ES"/>
        </w:rPr>
      </w:pPr>
      <w:r>
        <w:rPr>
          <w:rStyle w:val="Refdenotaalpie"/>
        </w:rPr>
        <w:footnoteRef/>
      </w:r>
      <w:r>
        <w:t xml:space="preserve"> </w:t>
      </w:r>
      <w:r w:rsidRPr="00935B5D">
        <w:t>Congreso de la República. Acto Legislativo 01 de 2023.</w:t>
      </w:r>
    </w:p>
  </w:footnote>
  <w:footnote w:id="19">
    <w:p w14:paraId="4C6E1C5B" w14:textId="2A787216" w:rsidR="00637C91" w:rsidRPr="00637C91" w:rsidRDefault="00637C91">
      <w:pPr>
        <w:pStyle w:val="Textonotapie"/>
        <w:rPr>
          <w:lang w:val="es-MX"/>
        </w:rPr>
      </w:pPr>
      <w:r>
        <w:rPr>
          <w:rStyle w:val="Refdenotaalpie"/>
        </w:rPr>
        <w:footnoteRef/>
      </w:r>
      <w:r w:rsidR="1A24BF23">
        <w:t xml:space="preserve"> H</w:t>
      </w:r>
      <w:r w:rsidR="1A24BF23" w:rsidRPr="00637C91">
        <w:t>erramienta estadística clave para la planificación agrícola y la gestión del sector agropecuario en Colombia que dan información sobre la actividad agropecuaria de todos los municipios a nivel nacional, al integrar información sobre la oferta productiva, los costos de producción y los precios en el primer mercado, las EVA proporcionan un enfoque integral para el seguimiento y la toma de decisiones en la actividad agropecuaria</w:t>
      </w:r>
    </w:p>
  </w:footnote>
  <w:footnote w:id="20">
    <w:p w14:paraId="4BB8D3C3" w14:textId="45946CFA" w:rsidR="00935B5D" w:rsidRPr="000C325D" w:rsidRDefault="00935B5D">
      <w:pPr>
        <w:pStyle w:val="Textonotapie"/>
        <w:rPr>
          <w:sz w:val="20"/>
          <w:szCs w:val="20"/>
          <w:lang w:val="es-ES"/>
        </w:rPr>
      </w:pPr>
      <w:r w:rsidRPr="000C325D">
        <w:rPr>
          <w:rStyle w:val="Refdenotaalpie"/>
          <w:sz w:val="20"/>
          <w:szCs w:val="20"/>
        </w:rPr>
        <w:footnoteRef/>
      </w:r>
      <w:r w:rsidRPr="000C325D">
        <w:rPr>
          <w:sz w:val="20"/>
          <w:szCs w:val="20"/>
        </w:rPr>
        <w:t xml:space="preserve"> Corte Constitucional. Sentencia T-361 de 2017</w:t>
      </w:r>
    </w:p>
  </w:footnote>
  <w:footnote w:id="21">
    <w:p w14:paraId="080A2D84" w14:textId="26A910BB" w:rsidR="000E49FA" w:rsidRPr="000C325D" w:rsidRDefault="0085649B" w:rsidP="000E49FA">
      <w:pPr>
        <w:pStyle w:val="Textonotapie"/>
        <w:rPr>
          <w:sz w:val="20"/>
          <w:szCs w:val="20"/>
          <w:lang w:val="es-ES"/>
        </w:rPr>
      </w:pPr>
      <w:r w:rsidRPr="000C325D">
        <w:rPr>
          <w:rStyle w:val="Refdenotaalpie"/>
          <w:sz w:val="20"/>
          <w:szCs w:val="20"/>
        </w:rPr>
        <w:footnoteRef/>
      </w:r>
      <w:r w:rsidRPr="000C325D">
        <w:rPr>
          <w:sz w:val="20"/>
          <w:szCs w:val="20"/>
        </w:rPr>
        <w:t xml:space="preserve"> </w:t>
      </w:r>
      <w:r w:rsidRPr="000C325D">
        <w:rPr>
          <w:sz w:val="20"/>
          <w:szCs w:val="20"/>
          <w:lang w:val="es-ES"/>
        </w:rPr>
        <w:t xml:space="preserve">Este apartado toma como base </w:t>
      </w:r>
      <w:r w:rsidR="000E49FA" w:rsidRPr="000C325D">
        <w:rPr>
          <w:sz w:val="20"/>
          <w:szCs w:val="20"/>
          <w:lang w:val="es-ES"/>
        </w:rPr>
        <w:t xml:space="preserve">los resultados del CO1.PCCNTR.8200119/2801 entre la Universidad </w:t>
      </w:r>
      <w:r w:rsidR="00AA33ED" w:rsidRPr="000C325D">
        <w:rPr>
          <w:sz w:val="20"/>
          <w:szCs w:val="20"/>
          <w:lang w:val="es-ES"/>
        </w:rPr>
        <w:t>Pedagógica</w:t>
      </w:r>
      <w:r w:rsidR="000E49FA" w:rsidRPr="000C325D">
        <w:rPr>
          <w:sz w:val="20"/>
          <w:szCs w:val="20"/>
          <w:lang w:val="es-ES"/>
        </w:rPr>
        <w:t xml:space="preserve"> y </w:t>
      </w:r>
      <w:r w:rsidR="00AA33ED" w:rsidRPr="000C325D">
        <w:rPr>
          <w:sz w:val="20"/>
          <w:szCs w:val="20"/>
          <w:lang w:val="es-ES"/>
        </w:rPr>
        <w:t>Tecnológica</w:t>
      </w:r>
      <w:r w:rsidR="000E49FA" w:rsidRPr="000C325D">
        <w:rPr>
          <w:sz w:val="20"/>
          <w:szCs w:val="20"/>
          <w:lang w:val="es-ES"/>
        </w:rPr>
        <w:t xml:space="preserve"> de Colombia y la Gobernación de Boyacá.</w:t>
      </w:r>
    </w:p>
    <w:p w14:paraId="6F3DAE07" w14:textId="4C6D281F" w:rsidR="0085649B" w:rsidRPr="0085649B" w:rsidRDefault="0085649B" w:rsidP="000E49FA">
      <w:pPr>
        <w:pStyle w:val="Textonotapie"/>
        <w:rPr>
          <w:lang w:val="es-ES"/>
        </w:rPr>
      </w:pPr>
    </w:p>
  </w:footnote>
  <w:footnote w:id="22">
    <w:p w14:paraId="3E4E0021" w14:textId="77777777" w:rsidR="004C3855" w:rsidRDefault="004C3855" w:rsidP="004C3855">
      <w:pPr>
        <w:pStyle w:val="Textonotapie"/>
        <w:rPr>
          <w:sz w:val="18"/>
        </w:rPr>
      </w:pPr>
      <w:r>
        <w:rPr>
          <w:rStyle w:val="Refdenotaalpie"/>
        </w:rPr>
        <w:footnoteRef/>
      </w:r>
      <w:r>
        <w:rPr>
          <w:rStyle w:val="Refdenotaalpie"/>
        </w:rPr>
        <w:footnoteRef/>
      </w:r>
      <w:r w:rsidRPr="006E02FD">
        <w:t xml:space="preserve"> </w:t>
      </w:r>
      <w:r w:rsidRPr="006E02FD">
        <w:rPr>
          <w:sz w:val="18"/>
        </w:rPr>
        <w:t>Las Funciones ecosistémicas (FF.EE) o Servicios Ecosistémicos intermedios, pueden definirse como los atributos y procesos físicos, químicos y biológicos que contribuyen al auto mantenimiento de los ecosistemas y que soportan el flujo de servicios ecosistémicos. De otro lado, los Servicios ecosistémicos (SSEE), como se vio anteriormente, son los aspectos de los ecosistemas utilizados activa o pasivamente por las sociedades para producir bienestar humano (Fisher et al. 2009). En el contexto de ECOSER, representan el conjunto de funciones ecosistémicas capaces de transformar el capital natural en beneficios potenciales para los individuos y sociedades humanas (Larrea et al. 2015).</w:t>
      </w:r>
    </w:p>
    <w:p w14:paraId="5167BAF8" w14:textId="77777777" w:rsidR="004C3855" w:rsidRDefault="004C3855" w:rsidP="004C3855">
      <w:pPr>
        <w:pStyle w:val="Textonotapie"/>
        <w:rPr>
          <w:sz w:val="18"/>
        </w:rPr>
      </w:pPr>
    </w:p>
    <w:p w14:paraId="137C92CA" w14:textId="77777777" w:rsidR="004C3855" w:rsidRDefault="004C3855" w:rsidP="004C3855">
      <w:pPr>
        <w:pStyle w:val="Textonotapie"/>
        <w:rPr>
          <w:sz w:val="18"/>
        </w:rPr>
      </w:pPr>
    </w:p>
    <w:p w14:paraId="2D1808EE" w14:textId="77777777" w:rsidR="004C3855" w:rsidRDefault="004C3855" w:rsidP="004C3855">
      <w:pPr>
        <w:pStyle w:val="Textonotapie"/>
        <w:rPr>
          <w:sz w:val="18"/>
        </w:rPr>
      </w:pPr>
    </w:p>
    <w:p w14:paraId="0E1B591F" w14:textId="77777777" w:rsidR="004C3855" w:rsidRPr="00CB4559" w:rsidRDefault="004C3855" w:rsidP="004C3855">
      <w:pPr>
        <w:pStyle w:val="Textonotapie"/>
      </w:pPr>
    </w:p>
  </w:footnote>
  <w:footnote w:id="23">
    <w:p w14:paraId="6E15C8AE" w14:textId="47B7B169" w:rsidR="00583121" w:rsidRPr="003B7958" w:rsidRDefault="00583121">
      <w:pPr>
        <w:pStyle w:val="Textonotapie"/>
        <w:rPr>
          <w:sz w:val="16"/>
          <w:szCs w:val="16"/>
        </w:rPr>
      </w:pPr>
      <w:r w:rsidRPr="003B7958">
        <w:rPr>
          <w:rStyle w:val="Refdenotaalpie"/>
          <w:sz w:val="16"/>
          <w:szCs w:val="16"/>
        </w:rPr>
        <w:footnoteRef/>
      </w:r>
      <w:r w:rsidRPr="003B7958">
        <w:rPr>
          <w:sz w:val="16"/>
          <w:szCs w:val="16"/>
        </w:rPr>
        <w:t xml:space="preserve"> </w:t>
      </w:r>
      <w:r>
        <w:rPr>
          <w:sz w:val="16"/>
          <w:szCs w:val="16"/>
        </w:rPr>
        <w:t>P</w:t>
      </w:r>
      <w:r w:rsidRPr="003B7958">
        <w:rPr>
          <w:sz w:val="16"/>
          <w:szCs w:val="16"/>
        </w:rPr>
        <w:t>arágrafo 3 del artículo 204 de la Ley 1450 de 2011</w:t>
      </w:r>
    </w:p>
  </w:footnote>
  <w:footnote w:id="24">
    <w:p w14:paraId="1A330E50" w14:textId="1EA0C71F" w:rsidR="00EB3B4D" w:rsidRDefault="00EB3B4D" w:rsidP="00EB3B4D">
      <w:pPr>
        <w:pStyle w:val="Textonotapie"/>
      </w:pPr>
      <w:r>
        <w:rPr>
          <w:rStyle w:val="Refdenotaalpie"/>
        </w:rPr>
        <w:footnoteRef/>
      </w:r>
      <w:r>
        <w:t xml:space="preserve"> </w:t>
      </w:r>
      <w:r w:rsidRPr="000F7601">
        <w:rPr>
          <w:sz w:val="16"/>
          <w:szCs w:val="16"/>
        </w:rPr>
        <w:t>P</w:t>
      </w:r>
      <w:r w:rsidRPr="00EB3B4D">
        <w:rPr>
          <w:sz w:val="16"/>
          <w:szCs w:val="16"/>
        </w:rPr>
        <w:t>olítica nacional para el control de la deforestación y la</w:t>
      </w:r>
      <w:r>
        <w:rPr>
          <w:sz w:val="16"/>
          <w:szCs w:val="16"/>
        </w:rPr>
        <w:t xml:space="preserve"> </w:t>
      </w:r>
      <w:r w:rsidRPr="00EB3B4D">
        <w:rPr>
          <w:sz w:val="16"/>
          <w:szCs w:val="16"/>
        </w:rPr>
        <w:t xml:space="preserve">gestión sostenible de los bosques </w:t>
      </w:r>
      <w:r>
        <w:rPr>
          <w:sz w:val="16"/>
          <w:szCs w:val="16"/>
        </w:rPr>
        <w:t>(</w:t>
      </w:r>
      <w:r w:rsidRPr="00EB3B4D">
        <w:rPr>
          <w:sz w:val="16"/>
          <w:szCs w:val="16"/>
        </w:rPr>
        <w:t>21 de diciembre de 2020</w:t>
      </w:r>
      <w:r>
        <w:rPr>
          <w:sz w:val="16"/>
          <w:szCs w:val="16"/>
        </w:rPr>
        <w:t>)</w:t>
      </w:r>
    </w:p>
  </w:footnote>
  <w:footnote w:id="25">
    <w:p w14:paraId="47BFACB7" w14:textId="315C36EC" w:rsidR="007E4D20" w:rsidRDefault="007E4D20">
      <w:pPr>
        <w:pStyle w:val="Textonotapie"/>
      </w:pPr>
      <w:r>
        <w:rPr>
          <w:rStyle w:val="Refdenotaalpie"/>
        </w:rPr>
        <w:footnoteRef/>
      </w:r>
      <w:r>
        <w:t xml:space="preserve"> </w:t>
      </w:r>
      <w:r w:rsidRPr="000F7601">
        <w:rPr>
          <w:sz w:val="16"/>
          <w:szCs w:val="16"/>
        </w:rPr>
        <w:t>CONPES 4021 de 2020</w:t>
      </w:r>
    </w:p>
  </w:footnote>
  <w:footnote w:id="26">
    <w:p w14:paraId="176E7A0A" w14:textId="6993C8BE" w:rsidR="00A516C7" w:rsidRDefault="00A516C7">
      <w:pPr>
        <w:pStyle w:val="Textonotapie"/>
      </w:pPr>
      <w:r>
        <w:rPr>
          <w:rStyle w:val="Refdenotaalpie"/>
        </w:rPr>
        <w:footnoteRef/>
      </w:r>
      <w:r>
        <w:t xml:space="preserve"> </w:t>
      </w:r>
      <w:r w:rsidRPr="000F7601">
        <w:rPr>
          <w:sz w:val="16"/>
          <w:szCs w:val="16"/>
        </w:rPr>
        <w:t>Se entienden como áreas que cuentan con decisión de ordenamiento, las áreas protegidas del Sistema Nacional de Áreas Protegidas de conformidad con los artículos 2.2.2.1.1.1. y subsiguientes del Decreto Único 1076 de 2015, cuyo régimen de usos se definen en el plan de manejo; y los territorios colectivos de comunidades negras y resguardos indígenas debidamente constituidos, cuyo uso y reglamentación se definen en sus propios instrumentos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4F39" w14:textId="2C9DFA86" w:rsidR="00002AA2" w:rsidRDefault="00002AA2">
    <w:pPr>
      <w:pStyle w:val="Encabezado"/>
    </w:pPr>
    <w:r>
      <w:rPr>
        <w:noProof/>
      </w:rPr>
      <w:drawing>
        <wp:anchor distT="0" distB="0" distL="114300" distR="114300" simplePos="0" relativeHeight="251659264" behindDoc="1" locked="0" layoutInCell="1" allowOverlap="1" wp14:anchorId="09F1CCAA" wp14:editId="292356C5">
          <wp:simplePos x="0" y="0"/>
          <wp:positionH relativeFrom="page">
            <wp:align>left</wp:align>
          </wp:positionH>
          <wp:positionV relativeFrom="paragraph">
            <wp:posOffset>-450850</wp:posOffset>
          </wp:positionV>
          <wp:extent cx="7752715" cy="8064500"/>
          <wp:effectExtent l="0" t="0" r="635" b="0"/>
          <wp:wrapNone/>
          <wp:docPr id="1950298943" name="Imagen 1950298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b="19661"/>
                  <a:stretch>
                    <a:fillRect/>
                  </a:stretch>
                </pic:blipFill>
                <pic:spPr bwMode="auto">
                  <a:xfrm>
                    <a:off x="0" y="0"/>
                    <a:ext cx="7752715" cy="8064500"/>
                  </a:xfrm>
                  <a:prstGeom prst="rect">
                    <a:avLst/>
                  </a:prstGeom>
                  <a:noFill/>
                </pic:spPr>
              </pic:pic>
            </a:graphicData>
          </a:graphic>
          <wp14:sizeRelH relativeFrom="page">
            <wp14:pctWidth>0</wp14:pctWidth>
          </wp14:sizeRelH>
          <wp14:sizeRelV relativeFrom="page">
            <wp14:pctHeight>0</wp14:pctHeight>
          </wp14:sizeRelV>
        </wp:anchor>
      </w:drawing>
    </w:r>
  </w:p>
  <w:p w14:paraId="140FC42D" w14:textId="77777777" w:rsidR="00002AA2" w:rsidRDefault="00002AA2">
    <w:pPr>
      <w:pStyle w:val="Encabezado"/>
    </w:pPr>
  </w:p>
  <w:p w14:paraId="729352C8" w14:textId="77777777" w:rsidR="00002AA2" w:rsidRDefault="00002AA2">
    <w:pPr>
      <w:pStyle w:val="Encabezado"/>
    </w:pPr>
  </w:p>
  <w:p w14:paraId="78CC4DAD" w14:textId="3E610F8A" w:rsidR="00E160C3" w:rsidRDefault="00E160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63AF57E"/>
    <w:lvl w:ilvl="0">
      <w:start w:val="1"/>
      <w:numFmt w:val="bullet"/>
      <w:pStyle w:val="Listaconvietas"/>
      <w:lvlText w:val="•"/>
      <w:lvlJc w:val="left"/>
      <w:pPr>
        <w:ind w:left="360" w:hanging="360"/>
      </w:pPr>
      <w:rPr>
        <w:rFonts w:ascii="Cambria" w:hAnsi="Cambria" w:hint="default"/>
        <w:color w:val="4472C4" w:themeColor="accent1"/>
      </w:rPr>
    </w:lvl>
  </w:abstractNum>
  <w:abstractNum w:abstractNumId="1" w15:restartNumberingAfterBreak="0">
    <w:nsid w:val="01CC2C87"/>
    <w:multiLevelType w:val="multilevel"/>
    <w:tmpl w:val="FE7223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7D83A9"/>
    <w:multiLevelType w:val="hybridMultilevel"/>
    <w:tmpl w:val="DE309992"/>
    <w:lvl w:ilvl="0" w:tplc="06B4A738">
      <w:start w:val="1"/>
      <w:numFmt w:val="bullet"/>
      <w:lvlText w:val=""/>
      <w:lvlJc w:val="left"/>
      <w:pPr>
        <w:ind w:left="720" w:hanging="360"/>
      </w:pPr>
      <w:rPr>
        <w:rFonts w:ascii="Symbol" w:hAnsi="Symbol" w:hint="default"/>
      </w:rPr>
    </w:lvl>
    <w:lvl w:ilvl="1" w:tplc="A2C602A8">
      <w:start w:val="1"/>
      <w:numFmt w:val="bullet"/>
      <w:lvlText w:val="o"/>
      <w:lvlJc w:val="left"/>
      <w:pPr>
        <w:ind w:left="1440" w:hanging="360"/>
      </w:pPr>
      <w:rPr>
        <w:rFonts w:ascii="Courier New" w:hAnsi="Courier New" w:hint="default"/>
      </w:rPr>
    </w:lvl>
    <w:lvl w:ilvl="2" w:tplc="1FBE3994">
      <w:start w:val="1"/>
      <w:numFmt w:val="bullet"/>
      <w:lvlText w:val=""/>
      <w:lvlJc w:val="left"/>
      <w:pPr>
        <w:ind w:left="2160" w:hanging="360"/>
      </w:pPr>
      <w:rPr>
        <w:rFonts w:ascii="Wingdings" w:hAnsi="Wingdings" w:hint="default"/>
      </w:rPr>
    </w:lvl>
    <w:lvl w:ilvl="3" w:tplc="675822B6">
      <w:start w:val="1"/>
      <w:numFmt w:val="bullet"/>
      <w:lvlText w:val=""/>
      <w:lvlJc w:val="left"/>
      <w:pPr>
        <w:ind w:left="2880" w:hanging="360"/>
      </w:pPr>
      <w:rPr>
        <w:rFonts w:ascii="Symbol" w:hAnsi="Symbol" w:hint="default"/>
      </w:rPr>
    </w:lvl>
    <w:lvl w:ilvl="4" w:tplc="0D223A64">
      <w:start w:val="1"/>
      <w:numFmt w:val="bullet"/>
      <w:lvlText w:val="o"/>
      <w:lvlJc w:val="left"/>
      <w:pPr>
        <w:ind w:left="3600" w:hanging="360"/>
      </w:pPr>
      <w:rPr>
        <w:rFonts w:ascii="Courier New" w:hAnsi="Courier New" w:hint="default"/>
      </w:rPr>
    </w:lvl>
    <w:lvl w:ilvl="5" w:tplc="584007B6">
      <w:start w:val="1"/>
      <w:numFmt w:val="bullet"/>
      <w:lvlText w:val=""/>
      <w:lvlJc w:val="left"/>
      <w:pPr>
        <w:ind w:left="4320" w:hanging="360"/>
      </w:pPr>
      <w:rPr>
        <w:rFonts w:ascii="Wingdings" w:hAnsi="Wingdings" w:hint="default"/>
      </w:rPr>
    </w:lvl>
    <w:lvl w:ilvl="6" w:tplc="20B8ABE0">
      <w:start w:val="1"/>
      <w:numFmt w:val="bullet"/>
      <w:lvlText w:val=""/>
      <w:lvlJc w:val="left"/>
      <w:pPr>
        <w:ind w:left="5040" w:hanging="360"/>
      </w:pPr>
      <w:rPr>
        <w:rFonts w:ascii="Symbol" w:hAnsi="Symbol" w:hint="default"/>
      </w:rPr>
    </w:lvl>
    <w:lvl w:ilvl="7" w:tplc="21A04972">
      <w:start w:val="1"/>
      <w:numFmt w:val="bullet"/>
      <w:lvlText w:val="o"/>
      <w:lvlJc w:val="left"/>
      <w:pPr>
        <w:ind w:left="5760" w:hanging="360"/>
      </w:pPr>
      <w:rPr>
        <w:rFonts w:ascii="Courier New" w:hAnsi="Courier New" w:hint="default"/>
      </w:rPr>
    </w:lvl>
    <w:lvl w:ilvl="8" w:tplc="1F8A6D6E">
      <w:start w:val="1"/>
      <w:numFmt w:val="bullet"/>
      <w:lvlText w:val=""/>
      <w:lvlJc w:val="left"/>
      <w:pPr>
        <w:ind w:left="6480" w:hanging="360"/>
      </w:pPr>
      <w:rPr>
        <w:rFonts w:ascii="Wingdings" w:hAnsi="Wingdings" w:hint="default"/>
      </w:rPr>
    </w:lvl>
  </w:abstractNum>
  <w:abstractNum w:abstractNumId="3" w15:restartNumberingAfterBreak="0">
    <w:nsid w:val="103918A2"/>
    <w:multiLevelType w:val="hybridMultilevel"/>
    <w:tmpl w:val="ED067F6E"/>
    <w:lvl w:ilvl="0" w:tplc="240A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C97806"/>
    <w:multiLevelType w:val="hybridMultilevel"/>
    <w:tmpl w:val="BA8C04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2B88904"/>
    <w:multiLevelType w:val="hybridMultilevel"/>
    <w:tmpl w:val="653402B4"/>
    <w:lvl w:ilvl="0" w:tplc="33443FF0">
      <w:start w:val="1"/>
      <w:numFmt w:val="lowerLetter"/>
      <w:lvlText w:val="%1)"/>
      <w:lvlJc w:val="left"/>
      <w:pPr>
        <w:ind w:left="720" w:hanging="360"/>
      </w:pPr>
    </w:lvl>
    <w:lvl w:ilvl="1" w:tplc="455439BE">
      <w:start w:val="1"/>
      <w:numFmt w:val="lowerLetter"/>
      <w:lvlText w:val="%2."/>
      <w:lvlJc w:val="left"/>
      <w:pPr>
        <w:ind w:left="1440" w:hanging="360"/>
      </w:pPr>
    </w:lvl>
    <w:lvl w:ilvl="2" w:tplc="7CBA72FE">
      <w:start w:val="1"/>
      <w:numFmt w:val="lowerRoman"/>
      <w:lvlText w:val="%3."/>
      <w:lvlJc w:val="right"/>
      <w:pPr>
        <w:ind w:left="2160" w:hanging="180"/>
      </w:pPr>
    </w:lvl>
    <w:lvl w:ilvl="3" w:tplc="1E9804C2">
      <w:start w:val="1"/>
      <w:numFmt w:val="decimal"/>
      <w:lvlText w:val="%4."/>
      <w:lvlJc w:val="left"/>
      <w:pPr>
        <w:ind w:left="2880" w:hanging="360"/>
      </w:pPr>
    </w:lvl>
    <w:lvl w:ilvl="4" w:tplc="BE02F7BA">
      <w:start w:val="1"/>
      <w:numFmt w:val="lowerLetter"/>
      <w:lvlText w:val="%5."/>
      <w:lvlJc w:val="left"/>
      <w:pPr>
        <w:ind w:left="3600" w:hanging="360"/>
      </w:pPr>
    </w:lvl>
    <w:lvl w:ilvl="5" w:tplc="44968864">
      <w:start w:val="1"/>
      <w:numFmt w:val="lowerRoman"/>
      <w:lvlText w:val="%6."/>
      <w:lvlJc w:val="right"/>
      <w:pPr>
        <w:ind w:left="4320" w:hanging="180"/>
      </w:pPr>
    </w:lvl>
    <w:lvl w:ilvl="6" w:tplc="DADE185C">
      <w:start w:val="1"/>
      <w:numFmt w:val="decimal"/>
      <w:lvlText w:val="%7."/>
      <w:lvlJc w:val="left"/>
      <w:pPr>
        <w:ind w:left="5040" w:hanging="360"/>
      </w:pPr>
    </w:lvl>
    <w:lvl w:ilvl="7" w:tplc="E24E637E">
      <w:start w:val="1"/>
      <w:numFmt w:val="lowerLetter"/>
      <w:lvlText w:val="%8."/>
      <w:lvlJc w:val="left"/>
      <w:pPr>
        <w:ind w:left="5760" w:hanging="360"/>
      </w:pPr>
    </w:lvl>
    <w:lvl w:ilvl="8" w:tplc="4EDE1614">
      <w:start w:val="1"/>
      <w:numFmt w:val="lowerRoman"/>
      <w:lvlText w:val="%9."/>
      <w:lvlJc w:val="right"/>
      <w:pPr>
        <w:ind w:left="6480" w:hanging="180"/>
      </w:pPr>
    </w:lvl>
  </w:abstractNum>
  <w:abstractNum w:abstractNumId="6" w15:restartNumberingAfterBreak="0">
    <w:nsid w:val="1816376F"/>
    <w:multiLevelType w:val="hybridMultilevel"/>
    <w:tmpl w:val="1B004706"/>
    <w:lvl w:ilvl="0" w:tplc="08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E834D6"/>
    <w:multiLevelType w:val="hybridMultilevel"/>
    <w:tmpl w:val="21669C86"/>
    <w:lvl w:ilvl="0" w:tplc="24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7C15B9E"/>
    <w:multiLevelType w:val="hybridMultilevel"/>
    <w:tmpl w:val="EE48C6C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980EC99"/>
    <w:multiLevelType w:val="multilevel"/>
    <w:tmpl w:val="EC68CFFC"/>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286A64"/>
    <w:multiLevelType w:val="multilevel"/>
    <w:tmpl w:val="66FA1F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254924"/>
    <w:multiLevelType w:val="multilevel"/>
    <w:tmpl w:val="7AE2C2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A85FA5"/>
    <w:multiLevelType w:val="hybridMultilevel"/>
    <w:tmpl w:val="488EF40E"/>
    <w:lvl w:ilvl="0" w:tplc="08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0E6214"/>
    <w:multiLevelType w:val="multilevel"/>
    <w:tmpl w:val="AB3ED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BCE077C"/>
    <w:multiLevelType w:val="hybridMultilevel"/>
    <w:tmpl w:val="B2C8147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C6D54B8"/>
    <w:multiLevelType w:val="hybridMultilevel"/>
    <w:tmpl w:val="B1DE3C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68E23E7"/>
    <w:multiLevelType w:val="hybridMultilevel"/>
    <w:tmpl w:val="69B012CA"/>
    <w:lvl w:ilvl="0" w:tplc="2AC05C2A">
      <w:start w:val="1"/>
      <w:numFmt w:val="lowerLetter"/>
      <w:lvlText w:val="%1)"/>
      <w:lvlJc w:val="left"/>
      <w:pPr>
        <w:ind w:left="720" w:hanging="360"/>
      </w:pPr>
    </w:lvl>
    <w:lvl w:ilvl="1" w:tplc="183048C6">
      <w:start w:val="1"/>
      <w:numFmt w:val="lowerLetter"/>
      <w:lvlText w:val="%2."/>
      <w:lvlJc w:val="left"/>
      <w:pPr>
        <w:ind w:left="1440" w:hanging="360"/>
      </w:pPr>
    </w:lvl>
    <w:lvl w:ilvl="2" w:tplc="628C3018">
      <w:start w:val="1"/>
      <w:numFmt w:val="lowerRoman"/>
      <w:lvlText w:val="%3."/>
      <w:lvlJc w:val="right"/>
      <w:pPr>
        <w:ind w:left="2160" w:hanging="180"/>
      </w:pPr>
    </w:lvl>
    <w:lvl w:ilvl="3" w:tplc="869CA3C8">
      <w:start w:val="1"/>
      <w:numFmt w:val="decimal"/>
      <w:lvlText w:val="%4."/>
      <w:lvlJc w:val="left"/>
      <w:pPr>
        <w:ind w:left="2880" w:hanging="360"/>
      </w:pPr>
    </w:lvl>
    <w:lvl w:ilvl="4" w:tplc="C03EC6BC">
      <w:start w:val="1"/>
      <w:numFmt w:val="lowerLetter"/>
      <w:lvlText w:val="%5."/>
      <w:lvlJc w:val="left"/>
      <w:pPr>
        <w:ind w:left="3600" w:hanging="360"/>
      </w:pPr>
    </w:lvl>
    <w:lvl w:ilvl="5" w:tplc="D620063A">
      <w:start w:val="1"/>
      <w:numFmt w:val="lowerRoman"/>
      <w:lvlText w:val="%6."/>
      <w:lvlJc w:val="right"/>
      <w:pPr>
        <w:ind w:left="4320" w:hanging="180"/>
      </w:pPr>
    </w:lvl>
    <w:lvl w:ilvl="6" w:tplc="3E9A0D60">
      <w:start w:val="1"/>
      <w:numFmt w:val="decimal"/>
      <w:lvlText w:val="%7."/>
      <w:lvlJc w:val="left"/>
      <w:pPr>
        <w:ind w:left="5040" w:hanging="360"/>
      </w:pPr>
    </w:lvl>
    <w:lvl w:ilvl="7" w:tplc="67768BE4">
      <w:start w:val="1"/>
      <w:numFmt w:val="lowerLetter"/>
      <w:lvlText w:val="%8."/>
      <w:lvlJc w:val="left"/>
      <w:pPr>
        <w:ind w:left="5760" w:hanging="360"/>
      </w:pPr>
    </w:lvl>
    <w:lvl w:ilvl="8" w:tplc="385C9040">
      <w:start w:val="1"/>
      <w:numFmt w:val="lowerRoman"/>
      <w:lvlText w:val="%9."/>
      <w:lvlJc w:val="right"/>
      <w:pPr>
        <w:ind w:left="6480" w:hanging="180"/>
      </w:pPr>
    </w:lvl>
  </w:abstractNum>
  <w:abstractNum w:abstractNumId="17" w15:restartNumberingAfterBreak="0">
    <w:nsid w:val="48B51B28"/>
    <w:multiLevelType w:val="hybridMultilevel"/>
    <w:tmpl w:val="1C4269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4B04C6"/>
    <w:multiLevelType w:val="hybridMultilevel"/>
    <w:tmpl w:val="39A6281A"/>
    <w:lvl w:ilvl="0" w:tplc="24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3642CED"/>
    <w:multiLevelType w:val="hybridMultilevel"/>
    <w:tmpl w:val="5ABEA8FE"/>
    <w:lvl w:ilvl="0" w:tplc="A8207FB4">
      <w:start w:val="1"/>
      <w:numFmt w:val="decimal"/>
      <w:lvlText w:val="%1."/>
      <w:lvlJc w:val="left"/>
      <w:pPr>
        <w:ind w:left="720" w:hanging="360"/>
      </w:pPr>
    </w:lvl>
    <w:lvl w:ilvl="1" w:tplc="B07057D4">
      <w:start w:val="1"/>
      <w:numFmt w:val="lowerLetter"/>
      <w:lvlText w:val="%2."/>
      <w:lvlJc w:val="left"/>
      <w:pPr>
        <w:ind w:left="1440" w:hanging="360"/>
      </w:pPr>
    </w:lvl>
    <w:lvl w:ilvl="2" w:tplc="B548FD12">
      <w:start w:val="1"/>
      <w:numFmt w:val="lowerRoman"/>
      <w:lvlText w:val="%3."/>
      <w:lvlJc w:val="right"/>
      <w:pPr>
        <w:ind w:left="2160" w:hanging="180"/>
      </w:pPr>
    </w:lvl>
    <w:lvl w:ilvl="3" w:tplc="3338608C">
      <w:start w:val="1"/>
      <w:numFmt w:val="decimal"/>
      <w:lvlText w:val="%4."/>
      <w:lvlJc w:val="left"/>
      <w:pPr>
        <w:ind w:left="2880" w:hanging="360"/>
      </w:pPr>
    </w:lvl>
    <w:lvl w:ilvl="4" w:tplc="71C87AB6">
      <w:start w:val="1"/>
      <w:numFmt w:val="lowerLetter"/>
      <w:lvlText w:val="%5."/>
      <w:lvlJc w:val="left"/>
      <w:pPr>
        <w:ind w:left="3600" w:hanging="360"/>
      </w:pPr>
    </w:lvl>
    <w:lvl w:ilvl="5" w:tplc="0C7E7EBE">
      <w:start w:val="1"/>
      <w:numFmt w:val="lowerRoman"/>
      <w:lvlText w:val="%6."/>
      <w:lvlJc w:val="right"/>
      <w:pPr>
        <w:ind w:left="4320" w:hanging="180"/>
      </w:pPr>
    </w:lvl>
    <w:lvl w:ilvl="6" w:tplc="C854F1C8">
      <w:start w:val="1"/>
      <w:numFmt w:val="decimal"/>
      <w:lvlText w:val="%7."/>
      <w:lvlJc w:val="left"/>
      <w:pPr>
        <w:ind w:left="5040" w:hanging="360"/>
      </w:pPr>
    </w:lvl>
    <w:lvl w:ilvl="7" w:tplc="212E4A78">
      <w:start w:val="1"/>
      <w:numFmt w:val="lowerLetter"/>
      <w:lvlText w:val="%8."/>
      <w:lvlJc w:val="left"/>
      <w:pPr>
        <w:ind w:left="5760" w:hanging="360"/>
      </w:pPr>
    </w:lvl>
    <w:lvl w:ilvl="8" w:tplc="4B848A08">
      <w:start w:val="1"/>
      <w:numFmt w:val="lowerRoman"/>
      <w:lvlText w:val="%9."/>
      <w:lvlJc w:val="right"/>
      <w:pPr>
        <w:ind w:left="6480" w:hanging="180"/>
      </w:pPr>
    </w:lvl>
  </w:abstractNum>
  <w:abstractNum w:abstractNumId="20" w15:restartNumberingAfterBreak="0">
    <w:nsid w:val="547C4F11"/>
    <w:multiLevelType w:val="hybridMultilevel"/>
    <w:tmpl w:val="EAECEB6E"/>
    <w:lvl w:ilvl="0" w:tplc="240A000F">
      <w:start w:val="1"/>
      <w:numFmt w:val="decimal"/>
      <w:lvlText w:val="%1."/>
      <w:lvlJc w:val="left"/>
      <w:pPr>
        <w:ind w:left="2160" w:hanging="360"/>
      </w:pPr>
      <w:rPr>
        <w:rFonts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21" w15:restartNumberingAfterBreak="0">
    <w:nsid w:val="5D6C3F42"/>
    <w:multiLevelType w:val="multilevel"/>
    <w:tmpl w:val="06507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825704"/>
    <w:multiLevelType w:val="multilevel"/>
    <w:tmpl w:val="F78C6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0854F3"/>
    <w:multiLevelType w:val="hybridMultilevel"/>
    <w:tmpl w:val="50960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EA5F28"/>
    <w:multiLevelType w:val="multilevel"/>
    <w:tmpl w:val="111E0A6A"/>
    <w:lvl w:ilvl="0">
      <w:start w:val="1"/>
      <w:numFmt w:val="bullet"/>
      <w:lvlText w:val=""/>
      <w:lvlJc w:val="left"/>
      <w:pPr>
        <w:ind w:left="762" w:hanging="360"/>
      </w:pPr>
      <w:rPr>
        <w:rFonts w:ascii="Symbol" w:hAnsi="Symbol" w:hint="default"/>
      </w:rPr>
    </w:lvl>
    <w:lvl w:ilvl="1">
      <w:start w:val="1"/>
      <w:numFmt w:val="decimal"/>
      <w:isLgl/>
      <w:lvlText w:val="%1.%2."/>
      <w:lvlJc w:val="left"/>
      <w:pPr>
        <w:ind w:left="1122" w:hanging="720"/>
      </w:pPr>
      <w:rPr>
        <w:rFonts w:hint="default"/>
      </w:rPr>
    </w:lvl>
    <w:lvl w:ilvl="2">
      <w:start w:val="1"/>
      <w:numFmt w:val="decimal"/>
      <w:isLgl/>
      <w:lvlText w:val="%1.%2.%3."/>
      <w:lvlJc w:val="left"/>
      <w:pPr>
        <w:ind w:left="1122" w:hanging="720"/>
      </w:pPr>
      <w:rPr>
        <w:rFonts w:hint="default"/>
      </w:rPr>
    </w:lvl>
    <w:lvl w:ilvl="3">
      <w:start w:val="1"/>
      <w:numFmt w:val="decimal"/>
      <w:isLgl/>
      <w:lvlText w:val="%1.%2.%3.%4."/>
      <w:lvlJc w:val="left"/>
      <w:pPr>
        <w:ind w:left="1482" w:hanging="1080"/>
      </w:pPr>
      <w:rPr>
        <w:rFonts w:hint="default"/>
      </w:rPr>
    </w:lvl>
    <w:lvl w:ilvl="4">
      <w:start w:val="1"/>
      <w:numFmt w:val="decimal"/>
      <w:isLgl/>
      <w:lvlText w:val="%1.%2.%3.%4.%5."/>
      <w:lvlJc w:val="left"/>
      <w:pPr>
        <w:ind w:left="1842" w:hanging="1440"/>
      </w:pPr>
      <w:rPr>
        <w:rFonts w:hint="default"/>
      </w:rPr>
    </w:lvl>
    <w:lvl w:ilvl="5">
      <w:start w:val="1"/>
      <w:numFmt w:val="decimal"/>
      <w:isLgl/>
      <w:lvlText w:val="%1.%2.%3.%4.%5.%6."/>
      <w:lvlJc w:val="left"/>
      <w:pPr>
        <w:ind w:left="1842" w:hanging="1440"/>
      </w:pPr>
      <w:rPr>
        <w:rFonts w:hint="default"/>
      </w:rPr>
    </w:lvl>
    <w:lvl w:ilvl="6">
      <w:start w:val="1"/>
      <w:numFmt w:val="decimal"/>
      <w:isLgl/>
      <w:lvlText w:val="%1.%2.%3.%4.%5.%6.%7."/>
      <w:lvlJc w:val="left"/>
      <w:pPr>
        <w:ind w:left="2202" w:hanging="1800"/>
      </w:pPr>
      <w:rPr>
        <w:rFonts w:hint="default"/>
      </w:rPr>
    </w:lvl>
    <w:lvl w:ilvl="7">
      <w:start w:val="1"/>
      <w:numFmt w:val="decimal"/>
      <w:isLgl/>
      <w:lvlText w:val="%1.%2.%3.%4.%5.%6.%7.%8."/>
      <w:lvlJc w:val="left"/>
      <w:pPr>
        <w:ind w:left="2562" w:hanging="2160"/>
      </w:pPr>
      <w:rPr>
        <w:rFonts w:hint="default"/>
      </w:rPr>
    </w:lvl>
    <w:lvl w:ilvl="8">
      <w:start w:val="1"/>
      <w:numFmt w:val="decimal"/>
      <w:isLgl/>
      <w:lvlText w:val="%1.%2.%3.%4.%5.%6.%7.%8.%9."/>
      <w:lvlJc w:val="left"/>
      <w:pPr>
        <w:ind w:left="2922" w:hanging="2520"/>
      </w:pPr>
      <w:rPr>
        <w:rFonts w:hint="default"/>
      </w:rPr>
    </w:lvl>
  </w:abstractNum>
  <w:abstractNum w:abstractNumId="25" w15:restartNumberingAfterBreak="0">
    <w:nsid w:val="69F47E47"/>
    <w:multiLevelType w:val="hybridMultilevel"/>
    <w:tmpl w:val="18B08DDC"/>
    <w:lvl w:ilvl="0" w:tplc="08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B7D23"/>
    <w:multiLevelType w:val="multilevel"/>
    <w:tmpl w:val="D6E0E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AD24BCD"/>
    <w:multiLevelType w:val="multilevel"/>
    <w:tmpl w:val="23945CA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FD93215"/>
    <w:multiLevelType w:val="hybridMultilevel"/>
    <w:tmpl w:val="1C006D48"/>
    <w:lvl w:ilvl="0" w:tplc="580A0001">
      <w:start w:val="1"/>
      <w:numFmt w:val="bullet"/>
      <w:lvlText w:val=""/>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29" w15:restartNumberingAfterBreak="0">
    <w:nsid w:val="76A60B77"/>
    <w:multiLevelType w:val="hybridMultilevel"/>
    <w:tmpl w:val="5064A102"/>
    <w:lvl w:ilvl="0" w:tplc="FFFFFFFF">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8A814DA"/>
    <w:multiLevelType w:val="hybridMultilevel"/>
    <w:tmpl w:val="7FE054B0"/>
    <w:lvl w:ilvl="0" w:tplc="08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95C19FE"/>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2987"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2" w15:restartNumberingAfterBreak="0">
    <w:nsid w:val="7E0310FA"/>
    <w:multiLevelType w:val="multilevel"/>
    <w:tmpl w:val="05BC6B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54871834">
    <w:abstractNumId w:val="19"/>
  </w:num>
  <w:num w:numId="2" w16cid:durableId="597711141">
    <w:abstractNumId w:val="9"/>
  </w:num>
  <w:num w:numId="3" w16cid:durableId="567493413">
    <w:abstractNumId w:val="2"/>
  </w:num>
  <w:num w:numId="4" w16cid:durableId="1907641728">
    <w:abstractNumId w:val="5"/>
  </w:num>
  <w:num w:numId="5" w16cid:durableId="605383178">
    <w:abstractNumId w:val="16"/>
  </w:num>
  <w:num w:numId="6" w16cid:durableId="439179642">
    <w:abstractNumId w:val="31"/>
  </w:num>
  <w:num w:numId="7" w16cid:durableId="1466924406">
    <w:abstractNumId w:val="4"/>
  </w:num>
  <w:num w:numId="8" w16cid:durableId="96560032">
    <w:abstractNumId w:val="0"/>
  </w:num>
  <w:num w:numId="9" w16cid:durableId="1970478803">
    <w:abstractNumId w:val="20"/>
  </w:num>
  <w:num w:numId="10" w16cid:durableId="1652908956">
    <w:abstractNumId w:val="29"/>
  </w:num>
  <w:num w:numId="11" w16cid:durableId="762998545">
    <w:abstractNumId w:val="24"/>
  </w:num>
  <w:num w:numId="12" w16cid:durableId="736711643">
    <w:abstractNumId w:val="8"/>
  </w:num>
  <w:num w:numId="13" w16cid:durableId="1568035250">
    <w:abstractNumId w:val="7"/>
  </w:num>
  <w:num w:numId="14" w16cid:durableId="1444880460">
    <w:abstractNumId w:val="3"/>
  </w:num>
  <w:num w:numId="15" w16cid:durableId="1910992256">
    <w:abstractNumId w:val="10"/>
  </w:num>
  <w:num w:numId="16" w16cid:durableId="792673930">
    <w:abstractNumId w:val="17"/>
  </w:num>
  <w:num w:numId="17" w16cid:durableId="1181092143">
    <w:abstractNumId w:val="18"/>
  </w:num>
  <w:num w:numId="18" w16cid:durableId="1810128268">
    <w:abstractNumId w:val="14"/>
  </w:num>
  <w:num w:numId="19" w16cid:durableId="1906069414">
    <w:abstractNumId w:val="15"/>
  </w:num>
  <w:num w:numId="20" w16cid:durableId="465393943">
    <w:abstractNumId w:val="27"/>
  </w:num>
  <w:num w:numId="21" w16cid:durableId="518859412">
    <w:abstractNumId w:val="12"/>
  </w:num>
  <w:num w:numId="22" w16cid:durableId="2035426393">
    <w:abstractNumId w:val="6"/>
  </w:num>
  <w:num w:numId="23" w16cid:durableId="1962031230">
    <w:abstractNumId w:val="30"/>
  </w:num>
  <w:num w:numId="24" w16cid:durableId="1928735055">
    <w:abstractNumId w:val="25"/>
  </w:num>
  <w:num w:numId="25" w16cid:durableId="2102484092">
    <w:abstractNumId w:val="31"/>
    <w:lvlOverride w:ilvl="0">
      <w:startOverride w:val="3"/>
    </w:lvlOverride>
  </w:num>
  <w:num w:numId="26" w16cid:durableId="1517190520">
    <w:abstractNumId w:val="28"/>
  </w:num>
  <w:num w:numId="27" w16cid:durableId="274295472">
    <w:abstractNumId w:val="26"/>
  </w:num>
  <w:num w:numId="28" w16cid:durableId="2142065059">
    <w:abstractNumId w:val="32"/>
  </w:num>
  <w:num w:numId="29" w16cid:durableId="254486753">
    <w:abstractNumId w:val="13"/>
  </w:num>
  <w:num w:numId="30" w16cid:durableId="542329419">
    <w:abstractNumId w:val="22"/>
  </w:num>
  <w:num w:numId="31" w16cid:durableId="1043865849">
    <w:abstractNumId w:val="11"/>
  </w:num>
  <w:num w:numId="32" w16cid:durableId="1809661864">
    <w:abstractNumId w:val="1"/>
  </w:num>
  <w:num w:numId="33" w16cid:durableId="726612178">
    <w:abstractNumId w:val="21"/>
  </w:num>
  <w:num w:numId="34" w16cid:durableId="1538616435">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0C3"/>
    <w:rsid w:val="00001669"/>
    <w:rsid w:val="00002AA2"/>
    <w:rsid w:val="000052A7"/>
    <w:rsid w:val="00013524"/>
    <w:rsid w:val="00013E26"/>
    <w:rsid w:val="00015292"/>
    <w:rsid w:val="0002077C"/>
    <w:rsid w:val="00022C7F"/>
    <w:rsid w:val="00025C62"/>
    <w:rsid w:val="0003132F"/>
    <w:rsid w:val="00031770"/>
    <w:rsid w:val="00031BA8"/>
    <w:rsid w:val="000334C7"/>
    <w:rsid w:val="000350B9"/>
    <w:rsid w:val="000360AD"/>
    <w:rsid w:val="00036795"/>
    <w:rsid w:val="000432A9"/>
    <w:rsid w:val="00043DC5"/>
    <w:rsid w:val="00046FD8"/>
    <w:rsid w:val="0004709D"/>
    <w:rsid w:val="00047840"/>
    <w:rsid w:val="00047C4B"/>
    <w:rsid w:val="00050190"/>
    <w:rsid w:val="00050B22"/>
    <w:rsid w:val="00053C95"/>
    <w:rsid w:val="00055BA0"/>
    <w:rsid w:val="0006049C"/>
    <w:rsid w:val="00064A59"/>
    <w:rsid w:val="0006736A"/>
    <w:rsid w:val="00073ACB"/>
    <w:rsid w:val="00077B66"/>
    <w:rsid w:val="00080BED"/>
    <w:rsid w:val="00080CE3"/>
    <w:rsid w:val="00081F26"/>
    <w:rsid w:val="0008427E"/>
    <w:rsid w:val="000846E4"/>
    <w:rsid w:val="000858E1"/>
    <w:rsid w:val="00086B08"/>
    <w:rsid w:val="000874C8"/>
    <w:rsid w:val="000A06F6"/>
    <w:rsid w:val="000B2D03"/>
    <w:rsid w:val="000B35D6"/>
    <w:rsid w:val="000B38F1"/>
    <w:rsid w:val="000B4E73"/>
    <w:rsid w:val="000B532A"/>
    <w:rsid w:val="000B60DC"/>
    <w:rsid w:val="000C0F98"/>
    <w:rsid w:val="000C1D8F"/>
    <w:rsid w:val="000C325D"/>
    <w:rsid w:val="000D2DD3"/>
    <w:rsid w:val="000D361C"/>
    <w:rsid w:val="000D4583"/>
    <w:rsid w:val="000E066A"/>
    <w:rsid w:val="000E3F14"/>
    <w:rsid w:val="000E48B4"/>
    <w:rsid w:val="000E49FA"/>
    <w:rsid w:val="000E60C9"/>
    <w:rsid w:val="000E7B41"/>
    <w:rsid w:val="000F4C14"/>
    <w:rsid w:val="000F7601"/>
    <w:rsid w:val="000F7D4D"/>
    <w:rsid w:val="00100423"/>
    <w:rsid w:val="0010325E"/>
    <w:rsid w:val="00104A06"/>
    <w:rsid w:val="00107003"/>
    <w:rsid w:val="00111814"/>
    <w:rsid w:val="001129B1"/>
    <w:rsid w:val="00120410"/>
    <w:rsid w:val="00121C4F"/>
    <w:rsid w:val="00132775"/>
    <w:rsid w:val="00137114"/>
    <w:rsid w:val="001434AF"/>
    <w:rsid w:val="001439EF"/>
    <w:rsid w:val="001457A5"/>
    <w:rsid w:val="00145D93"/>
    <w:rsid w:val="00146429"/>
    <w:rsid w:val="00147124"/>
    <w:rsid w:val="00147D34"/>
    <w:rsid w:val="00150E84"/>
    <w:rsid w:val="001523F4"/>
    <w:rsid w:val="001569DC"/>
    <w:rsid w:val="001632DA"/>
    <w:rsid w:val="00165BD4"/>
    <w:rsid w:val="001701D1"/>
    <w:rsid w:val="001720F4"/>
    <w:rsid w:val="00173D59"/>
    <w:rsid w:val="00173D8D"/>
    <w:rsid w:val="001747DA"/>
    <w:rsid w:val="00181EE9"/>
    <w:rsid w:val="001823B0"/>
    <w:rsid w:val="0018292F"/>
    <w:rsid w:val="00186D4F"/>
    <w:rsid w:val="00194BB7"/>
    <w:rsid w:val="001A59FA"/>
    <w:rsid w:val="001A73B9"/>
    <w:rsid w:val="001B1E22"/>
    <w:rsid w:val="001B262B"/>
    <w:rsid w:val="001B28C0"/>
    <w:rsid w:val="001B4BB6"/>
    <w:rsid w:val="001B4F7C"/>
    <w:rsid w:val="001C5B0D"/>
    <w:rsid w:val="001D05BB"/>
    <w:rsid w:val="001D1A15"/>
    <w:rsid w:val="001D2558"/>
    <w:rsid w:val="001D3953"/>
    <w:rsid w:val="001D5732"/>
    <w:rsid w:val="001D6B14"/>
    <w:rsid w:val="001E2A8B"/>
    <w:rsid w:val="001E5AB1"/>
    <w:rsid w:val="001E648D"/>
    <w:rsid w:val="001F205D"/>
    <w:rsid w:val="001F392D"/>
    <w:rsid w:val="00200137"/>
    <w:rsid w:val="00201EDD"/>
    <w:rsid w:val="002067BD"/>
    <w:rsid w:val="002067FA"/>
    <w:rsid w:val="00206FF7"/>
    <w:rsid w:val="00207462"/>
    <w:rsid w:val="00212286"/>
    <w:rsid w:val="00214931"/>
    <w:rsid w:val="00217E71"/>
    <w:rsid w:val="0022091A"/>
    <w:rsid w:val="00222D5C"/>
    <w:rsid w:val="00230ABF"/>
    <w:rsid w:val="00233A8E"/>
    <w:rsid w:val="00240A04"/>
    <w:rsid w:val="00240B91"/>
    <w:rsid w:val="00242B26"/>
    <w:rsid w:val="00250BCA"/>
    <w:rsid w:val="00251DB5"/>
    <w:rsid w:val="00252E96"/>
    <w:rsid w:val="002607AE"/>
    <w:rsid w:val="002608F9"/>
    <w:rsid w:val="0026248F"/>
    <w:rsid w:val="002644B9"/>
    <w:rsid w:val="00267E45"/>
    <w:rsid w:val="00273DF8"/>
    <w:rsid w:val="002750CA"/>
    <w:rsid w:val="002754D8"/>
    <w:rsid w:val="00276B15"/>
    <w:rsid w:val="00283FFC"/>
    <w:rsid w:val="00291F73"/>
    <w:rsid w:val="00297B35"/>
    <w:rsid w:val="002A552B"/>
    <w:rsid w:val="002A7628"/>
    <w:rsid w:val="002B123A"/>
    <w:rsid w:val="002B17DE"/>
    <w:rsid w:val="002B64E5"/>
    <w:rsid w:val="002B73FC"/>
    <w:rsid w:val="002C0F72"/>
    <w:rsid w:val="002C19EF"/>
    <w:rsid w:val="002C34D5"/>
    <w:rsid w:val="002C4EEB"/>
    <w:rsid w:val="002C6ACB"/>
    <w:rsid w:val="002C6CA2"/>
    <w:rsid w:val="002D09A8"/>
    <w:rsid w:val="002D11C2"/>
    <w:rsid w:val="002D3223"/>
    <w:rsid w:val="002D6ED1"/>
    <w:rsid w:val="002D73F4"/>
    <w:rsid w:val="002E5080"/>
    <w:rsid w:val="002E7EE2"/>
    <w:rsid w:val="002F4617"/>
    <w:rsid w:val="00303526"/>
    <w:rsid w:val="00307A49"/>
    <w:rsid w:val="0031207F"/>
    <w:rsid w:val="00317462"/>
    <w:rsid w:val="00320D4E"/>
    <w:rsid w:val="003221CB"/>
    <w:rsid w:val="0033156F"/>
    <w:rsid w:val="00332B6E"/>
    <w:rsid w:val="003362B9"/>
    <w:rsid w:val="003377B4"/>
    <w:rsid w:val="00340AAE"/>
    <w:rsid w:val="00340DEF"/>
    <w:rsid w:val="003423F1"/>
    <w:rsid w:val="00343C1C"/>
    <w:rsid w:val="0034407D"/>
    <w:rsid w:val="00345A0A"/>
    <w:rsid w:val="00345D9F"/>
    <w:rsid w:val="00346949"/>
    <w:rsid w:val="0035686A"/>
    <w:rsid w:val="00357255"/>
    <w:rsid w:val="0036041E"/>
    <w:rsid w:val="0036093A"/>
    <w:rsid w:val="0037190C"/>
    <w:rsid w:val="00372067"/>
    <w:rsid w:val="00377FC1"/>
    <w:rsid w:val="003805A3"/>
    <w:rsid w:val="003807B2"/>
    <w:rsid w:val="00380D72"/>
    <w:rsid w:val="0038231F"/>
    <w:rsid w:val="00383931"/>
    <w:rsid w:val="00384169"/>
    <w:rsid w:val="00386B39"/>
    <w:rsid w:val="00391B68"/>
    <w:rsid w:val="0039523C"/>
    <w:rsid w:val="003A20B8"/>
    <w:rsid w:val="003A616D"/>
    <w:rsid w:val="003B1542"/>
    <w:rsid w:val="003B173E"/>
    <w:rsid w:val="003B3A02"/>
    <w:rsid w:val="003B63A9"/>
    <w:rsid w:val="003B7958"/>
    <w:rsid w:val="003C1D97"/>
    <w:rsid w:val="003C210C"/>
    <w:rsid w:val="003C7F67"/>
    <w:rsid w:val="003D4468"/>
    <w:rsid w:val="003D449E"/>
    <w:rsid w:val="003D6280"/>
    <w:rsid w:val="003D6668"/>
    <w:rsid w:val="003D6AEF"/>
    <w:rsid w:val="003D704D"/>
    <w:rsid w:val="003E02DB"/>
    <w:rsid w:val="003E7048"/>
    <w:rsid w:val="003F3B04"/>
    <w:rsid w:val="003F7833"/>
    <w:rsid w:val="00405B3B"/>
    <w:rsid w:val="0040726A"/>
    <w:rsid w:val="0041288E"/>
    <w:rsid w:val="00414858"/>
    <w:rsid w:val="004156FB"/>
    <w:rsid w:val="004162DF"/>
    <w:rsid w:val="00417E13"/>
    <w:rsid w:val="0043288B"/>
    <w:rsid w:val="00433F50"/>
    <w:rsid w:val="00434A7F"/>
    <w:rsid w:val="004355F3"/>
    <w:rsid w:val="00437F5E"/>
    <w:rsid w:val="0044127C"/>
    <w:rsid w:val="00445472"/>
    <w:rsid w:val="00445D40"/>
    <w:rsid w:val="00446C71"/>
    <w:rsid w:val="004517A5"/>
    <w:rsid w:val="0045334D"/>
    <w:rsid w:val="00455F2D"/>
    <w:rsid w:val="0045734B"/>
    <w:rsid w:val="00461E80"/>
    <w:rsid w:val="00466FD3"/>
    <w:rsid w:val="004676EB"/>
    <w:rsid w:val="00475432"/>
    <w:rsid w:val="00475594"/>
    <w:rsid w:val="004778B5"/>
    <w:rsid w:val="00480439"/>
    <w:rsid w:val="00481457"/>
    <w:rsid w:val="004826B5"/>
    <w:rsid w:val="004846BC"/>
    <w:rsid w:val="00485386"/>
    <w:rsid w:val="0048578F"/>
    <w:rsid w:val="0049212F"/>
    <w:rsid w:val="00492FDD"/>
    <w:rsid w:val="004A20E7"/>
    <w:rsid w:val="004A57D8"/>
    <w:rsid w:val="004B1581"/>
    <w:rsid w:val="004B1CA1"/>
    <w:rsid w:val="004B4AA3"/>
    <w:rsid w:val="004B5ADD"/>
    <w:rsid w:val="004B6177"/>
    <w:rsid w:val="004B7A09"/>
    <w:rsid w:val="004C1FEC"/>
    <w:rsid w:val="004C2C7D"/>
    <w:rsid w:val="004C3855"/>
    <w:rsid w:val="004C5177"/>
    <w:rsid w:val="004D66DC"/>
    <w:rsid w:val="004E1277"/>
    <w:rsid w:val="004E1DA0"/>
    <w:rsid w:val="004E3A79"/>
    <w:rsid w:val="004E6586"/>
    <w:rsid w:val="004F0800"/>
    <w:rsid w:val="004F1104"/>
    <w:rsid w:val="004F5EE0"/>
    <w:rsid w:val="004F628F"/>
    <w:rsid w:val="0052005F"/>
    <w:rsid w:val="0052075B"/>
    <w:rsid w:val="00523123"/>
    <w:rsid w:val="005271F8"/>
    <w:rsid w:val="00533470"/>
    <w:rsid w:val="005364B8"/>
    <w:rsid w:val="005369C4"/>
    <w:rsid w:val="005373D7"/>
    <w:rsid w:val="005419B8"/>
    <w:rsid w:val="00543B22"/>
    <w:rsid w:val="00546DBA"/>
    <w:rsid w:val="00547206"/>
    <w:rsid w:val="00552054"/>
    <w:rsid w:val="00553E8A"/>
    <w:rsid w:val="005542C1"/>
    <w:rsid w:val="00554642"/>
    <w:rsid w:val="005620FF"/>
    <w:rsid w:val="00562665"/>
    <w:rsid w:val="00563A6F"/>
    <w:rsid w:val="00573246"/>
    <w:rsid w:val="005818D0"/>
    <w:rsid w:val="0058206C"/>
    <w:rsid w:val="00583121"/>
    <w:rsid w:val="00584E07"/>
    <w:rsid w:val="00592B30"/>
    <w:rsid w:val="005931F2"/>
    <w:rsid w:val="0059757E"/>
    <w:rsid w:val="005A4A67"/>
    <w:rsid w:val="005A4CDE"/>
    <w:rsid w:val="005A4F56"/>
    <w:rsid w:val="005A4F7E"/>
    <w:rsid w:val="005A737B"/>
    <w:rsid w:val="005B0362"/>
    <w:rsid w:val="005B1A78"/>
    <w:rsid w:val="005C0AEC"/>
    <w:rsid w:val="005C1C3F"/>
    <w:rsid w:val="005D4650"/>
    <w:rsid w:val="005D613B"/>
    <w:rsid w:val="005D65AD"/>
    <w:rsid w:val="005D7444"/>
    <w:rsid w:val="005E2F19"/>
    <w:rsid w:val="005E2F48"/>
    <w:rsid w:val="005E46F2"/>
    <w:rsid w:val="005E5E88"/>
    <w:rsid w:val="005F357A"/>
    <w:rsid w:val="005F62D6"/>
    <w:rsid w:val="00602856"/>
    <w:rsid w:val="006146CE"/>
    <w:rsid w:val="00617874"/>
    <w:rsid w:val="006215F6"/>
    <w:rsid w:val="00632AF9"/>
    <w:rsid w:val="00632BCE"/>
    <w:rsid w:val="00637C91"/>
    <w:rsid w:val="00640845"/>
    <w:rsid w:val="00640B6C"/>
    <w:rsid w:val="00641010"/>
    <w:rsid w:val="006421CE"/>
    <w:rsid w:val="00653552"/>
    <w:rsid w:val="0065455A"/>
    <w:rsid w:val="006551FF"/>
    <w:rsid w:val="00655C35"/>
    <w:rsid w:val="00657161"/>
    <w:rsid w:val="0066210A"/>
    <w:rsid w:val="00662C76"/>
    <w:rsid w:val="006652B3"/>
    <w:rsid w:val="00666A4A"/>
    <w:rsid w:val="00670629"/>
    <w:rsid w:val="00670644"/>
    <w:rsid w:val="00670D81"/>
    <w:rsid w:val="00671DA9"/>
    <w:rsid w:val="006777E0"/>
    <w:rsid w:val="006779FB"/>
    <w:rsid w:val="00683296"/>
    <w:rsid w:val="00683DAE"/>
    <w:rsid w:val="0068474B"/>
    <w:rsid w:val="00684E7A"/>
    <w:rsid w:val="00684F59"/>
    <w:rsid w:val="006873DA"/>
    <w:rsid w:val="006875CD"/>
    <w:rsid w:val="006940CD"/>
    <w:rsid w:val="00697BC9"/>
    <w:rsid w:val="006A1168"/>
    <w:rsid w:val="006B5A73"/>
    <w:rsid w:val="006B6543"/>
    <w:rsid w:val="006C05DA"/>
    <w:rsid w:val="006C3EF3"/>
    <w:rsid w:val="006C57B7"/>
    <w:rsid w:val="006D0144"/>
    <w:rsid w:val="006D21A9"/>
    <w:rsid w:val="006D4B2A"/>
    <w:rsid w:val="006D5D26"/>
    <w:rsid w:val="006D7348"/>
    <w:rsid w:val="006E0C08"/>
    <w:rsid w:val="006E1FD0"/>
    <w:rsid w:val="006F05F7"/>
    <w:rsid w:val="006F1CCC"/>
    <w:rsid w:val="006F6B3A"/>
    <w:rsid w:val="0070037F"/>
    <w:rsid w:val="00702BF3"/>
    <w:rsid w:val="0070312D"/>
    <w:rsid w:val="0070337D"/>
    <w:rsid w:val="007063F6"/>
    <w:rsid w:val="00713E0C"/>
    <w:rsid w:val="007156FF"/>
    <w:rsid w:val="00715FAE"/>
    <w:rsid w:val="00717667"/>
    <w:rsid w:val="0072104B"/>
    <w:rsid w:val="007219C4"/>
    <w:rsid w:val="007226FD"/>
    <w:rsid w:val="00722E6E"/>
    <w:rsid w:val="00730B29"/>
    <w:rsid w:val="007329BD"/>
    <w:rsid w:val="00734971"/>
    <w:rsid w:val="007349A4"/>
    <w:rsid w:val="00735446"/>
    <w:rsid w:val="00745328"/>
    <w:rsid w:val="00746081"/>
    <w:rsid w:val="00746A60"/>
    <w:rsid w:val="00746C1B"/>
    <w:rsid w:val="0074749F"/>
    <w:rsid w:val="007511F9"/>
    <w:rsid w:val="00752D77"/>
    <w:rsid w:val="00753A2F"/>
    <w:rsid w:val="00755617"/>
    <w:rsid w:val="00755A75"/>
    <w:rsid w:val="007648B1"/>
    <w:rsid w:val="007667FE"/>
    <w:rsid w:val="0076691A"/>
    <w:rsid w:val="00767B13"/>
    <w:rsid w:val="00770CB5"/>
    <w:rsid w:val="00774C61"/>
    <w:rsid w:val="00774E4E"/>
    <w:rsid w:val="00775F0B"/>
    <w:rsid w:val="00782DD9"/>
    <w:rsid w:val="00782E91"/>
    <w:rsid w:val="007839FF"/>
    <w:rsid w:val="00784A20"/>
    <w:rsid w:val="00784C80"/>
    <w:rsid w:val="00791EF6"/>
    <w:rsid w:val="0079211C"/>
    <w:rsid w:val="007A02A0"/>
    <w:rsid w:val="007A3F68"/>
    <w:rsid w:val="007B2DBC"/>
    <w:rsid w:val="007B4CF0"/>
    <w:rsid w:val="007B766A"/>
    <w:rsid w:val="007C1E22"/>
    <w:rsid w:val="007C48F0"/>
    <w:rsid w:val="007C54D4"/>
    <w:rsid w:val="007D4CFF"/>
    <w:rsid w:val="007D79D7"/>
    <w:rsid w:val="007E35E5"/>
    <w:rsid w:val="007E4066"/>
    <w:rsid w:val="007E4D20"/>
    <w:rsid w:val="007F0763"/>
    <w:rsid w:val="007F118B"/>
    <w:rsid w:val="007F20B7"/>
    <w:rsid w:val="007F43DE"/>
    <w:rsid w:val="00800C35"/>
    <w:rsid w:val="00803023"/>
    <w:rsid w:val="008033FF"/>
    <w:rsid w:val="00806C89"/>
    <w:rsid w:val="00806D39"/>
    <w:rsid w:val="008107B7"/>
    <w:rsid w:val="008166C2"/>
    <w:rsid w:val="008221D9"/>
    <w:rsid w:val="008241D9"/>
    <w:rsid w:val="00835677"/>
    <w:rsid w:val="00836407"/>
    <w:rsid w:val="008367F1"/>
    <w:rsid w:val="00837397"/>
    <w:rsid w:val="008375B3"/>
    <w:rsid w:val="0084039A"/>
    <w:rsid w:val="00843AA1"/>
    <w:rsid w:val="00846B40"/>
    <w:rsid w:val="00846F6C"/>
    <w:rsid w:val="00852DFE"/>
    <w:rsid w:val="0085649B"/>
    <w:rsid w:val="008626E3"/>
    <w:rsid w:val="00863BF6"/>
    <w:rsid w:val="0086554D"/>
    <w:rsid w:val="008657DB"/>
    <w:rsid w:val="00865F1A"/>
    <w:rsid w:val="0087193C"/>
    <w:rsid w:val="00877A4B"/>
    <w:rsid w:val="0088239B"/>
    <w:rsid w:val="00883282"/>
    <w:rsid w:val="0088367F"/>
    <w:rsid w:val="00884BA2"/>
    <w:rsid w:val="0088511D"/>
    <w:rsid w:val="00885239"/>
    <w:rsid w:val="0088794E"/>
    <w:rsid w:val="008920A7"/>
    <w:rsid w:val="0089289D"/>
    <w:rsid w:val="00895649"/>
    <w:rsid w:val="00895974"/>
    <w:rsid w:val="00896B2F"/>
    <w:rsid w:val="008A51ED"/>
    <w:rsid w:val="008A6624"/>
    <w:rsid w:val="008B0F23"/>
    <w:rsid w:val="008B179E"/>
    <w:rsid w:val="008B4153"/>
    <w:rsid w:val="008C0605"/>
    <w:rsid w:val="008C1A46"/>
    <w:rsid w:val="008C1FDD"/>
    <w:rsid w:val="008C340C"/>
    <w:rsid w:val="008C371A"/>
    <w:rsid w:val="008C4D58"/>
    <w:rsid w:val="008D1821"/>
    <w:rsid w:val="008D3CBC"/>
    <w:rsid w:val="008D3CFD"/>
    <w:rsid w:val="008D3D9C"/>
    <w:rsid w:val="008D7B64"/>
    <w:rsid w:val="008E0012"/>
    <w:rsid w:val="008E62F9"/>
    <w:rsid w:val="008F1702"/>
    <w:rsid w:val="008F1F9C"/>
    <w:rsid w:val="008F2C56"/>
    <w:rsid w:val="008F3BAC"/>
    <w:rsid w:val="008F6A04"/>
    <w:rsid w:val="00900E34"/>
    <w:rsid w:val="0090467C"/>
    <w:rsid w:val="00911B3B"/>
    <w:rsid w:val="00912340"/>
    <w:rsid w:val="00915667"/>
    <w:rsid w:val="00921A80"/>
    <w:rsid w:val="00922AA7"/>
    <w:rsid w:val="00922B47"/>
    <w:rsid w:val="009247D8"/>
    <w:rsid w:val="00925CA3"/>
    <w:rsid w:val="00927145"/>
    <w:rsid w:val="00927E05"/>
    <w:rsid w:val="00930312"/>
    <w:rsid w:val="009322E4"/>
    <w:rsid w:val="009330ED"/>
    <w:rsid w:val="00933FF3"/>
    <w:rsid w:val="00935B5D"/>
    <w:rsid w:val="009402FF"/>
    <w:rsid w:val="00940E65"/>
    <w:rsid w:val="00944E0A"/>
    <w:rsid w:val="00945FE5"/>
    <w:rsid w:val="0095514D"/>
    <w:rsid w:val="00961F9F"/>
    <w:rsid w:val="00962160"/>
    <w:rsid w:val="0096376B"/>
    <w:rsid w:val="00970654"/>
    <w:rsid w:val="00971D03"/>
    <w:rsid w:val="009740D3"/>
    <w:rsid w:val="009847D3"/>
    <w:rsid w:val="009865B6"/>
    <w:rsid w:val="009919AA"/>
    <w:rsid w:val="00994A2B"/>
    <w:rsid w:val="00994B7F"/>
    <w:rsid w:val="009A0074"/>
    <w:rsid w:val="009A0208"/>
    <w:rsid w:val="009A05C4"/>
    <w:rsid w:val="009A2DBD"/>
    <w:rsid w:val="009A4EC5"/>
    <w:rsid w:val="009B368D"/>
    <w:rsid w:val="009C2F67"/>
    <w:rsid w:val="009C79B7"/>
    <w:rsid w:val="009D07D4"/>
    <w:rsid w:val="009D0934"/>
    <w:rsid w:val="009D2702"/>
    <w:rsid w:val="009D62B3"/>
    <w:rsid w:val="009D7B7B"/>
    <w:rsid w:val="009D7B82"/>
    <w:rsid w:val="009E0A84"/>
    <w:rsid w:val="009E168F"/>
    <w:rsid w:val="009E3005"/>
    <w:rsid w:val="009E377E"/>
    <w:rsid w:val="009E405A"/>
    <w:rsid w:val="009E7370"/>
    <w:rsid w:val="009F12FA"/>
    <w:rsid w:val="009F39F0"/>
    <w:rsid w:val="009F5276"/>
    <w:rsid w:val="00A01A19"/>
    <w:rsid w:val="00A0375E"/>
    <w:rsid w:val="00A0437C"/>
    <w:rsid w:val="00A06732"/>
    <w:rsid w:val="00A07A69"/>
    <w:rsid w:val="00A103E4"/>
    <w:rsid w:val="00A14452"/>
    <w:rsid w:val="00A1492B"/>
    <w:rsid w:val="00A16420"/>
    <w:rsid w:val="00A2141D"/>
    <w:rsid w:val="00A21EF0"/>
    <w:rsid w:val="00A2300E"/>
    <w:rsid w:val="00A304D3"/>
    <w:rsid w:val="00A318E4"/>
    <w:rsid w:val="00A45FD2"/>
    <w:rsid w:val="00A516C7"/>
    <w:rsid w:val="00A5285D"/>
    <w:rsid w:val="00A52BE4"/>
    <w:rsid w:val="00A53507"/>
    <w:rsid w:val="00A55583"/>
    <w:rsid w:val="00A5629D"/>
    <w:rsid w:val="00A56ECD"/>
    <w:rsid w:val="00A61FE9"/>
    <w:rsid w:val="00A64B4F"/>
    <w:rsid w:val="00A67924"/>
    <w:rsid w:val="00A67A67"/>
    <w:rsid w:val="00A71653"/>
    <w:rsid w:val="00A73037"/>
    <w:rsid w:val="00A74C9A"/>
    <w:rsid w:val="00A764F7"/>
    <w:rsid w:val="00A83697"/>
    <w:rsid w:val="00A915B3"/>
    <w:rsid w:val="00A91609"/>
    <w:rsid w:val="00A94209"/>
    <w:rsid w:val="00AA08AE"/>
    <w:rsid w:val="00AA2EAA"/>
    <w:rsid w:val="00AA33ED"/>
    <w:rsid w:val="00AA46BE"/>
    <w:rsid w:val="00AA4DA5"/>
    <w:rsid w:val="00AA6047"/>
    <w:rsid w:val="00AA7158"/>
    <w:rsid w:val="00AB0FCA"/>
    <w:rsid w:val="00AB3BD1"/>
    <w:rsid w:val="00AB5414"/>
    <w:rsid w:val="00AB7A9C"/>
    <w:rsid w:val="00AC4C11"/>
    <w:rsid w:val="00AC6135"/>
    <w:rsid w:val="00AC6361"/>
    <w:rsid w:val="00AD325D"/>
    <w:rsid w:val="00AD3DC9"/>
    <w:rsid w:val="00AE30D3"/>
    <w:rsid w:val="00AE3A48"/>
    <w:rsid w:val="00AE62BF"/>
    <w:rsid w:val="00AF3271"/>
    <w:rsid w:val="00AF3F5A"/>
    <w:rsid w:val="00AF4250"/>
    <w:rsid w:val="00AF4E05"/>
    <w:rsid w:val="00AF6BAA"/>
    <w:rsid w:val="00AF6F2E"/>
    <w:rsid w:val="00B07CD4"/>
    <w:rsid w:val="00B10308"/>
    <w:rsid w:val="00B10C01"/>
    <w:rsid w:val="00B11091"/>
    <w:rsid w:val="00B14B34"/>
    <w:rsid w:val="00B17D9E"/>
    <w:rsid w:val="00B201CC"/>
    <w:rsid w:val="00B20A20"/>
    <w:rsid w:val="00B21277"/>
    <w:rsid w:val="00B233C8"/>
    <w:rsid w:val="00B23ACB"/>
    <w:rsid w:val="00B23C2C"/>
    <w:rsid w:val="00B23ED0"/>
    <w:rsid w:val="00B24EB4"/>
    <w:rsid w:val="00B35EFE"/>
    <w:rsid w:val="00B36742"/>
    <w:rsid w:val="00B40BD4"/>
    <w:rsid w:val="00B41B9E"/>
    <w:rsid w:val="00B53CDA"/>
    <w:rsid w:val="00B544CB"/>
    <w:rsid w:val="00B5465A"/>
    <w:rsid w:val="00B55F14"/>
    <w:rsid w:val="00B5702E"/>
    <w:rsid w:val="00B65467"/>
    <w:rsid w:val="00B6744D"/>
    <w:rsid w:val="00B70DB3"/>
    <w:rsid w:val="00B744E7"/>
    <w:rsid w:val="00B75C73"/>
    <w:rsid w:val="00B75F29"/>
    <w:rsid w:val="00B820C8"/>
    <w:rsid w:val="00B83E8A"/>
    <w:rsid w:val="00B85478"/>
    <w:rsid w:val="00B859D8"/>
    <w:rsid w:val="00B904F4"/>
    <w:rsid w:val="00B90AC4"/>
    <w:rsid w:val="00B91479"/>
    <w:rsid w:val="00B93504"/>
    <w:rsid w:val="00B94C9F"/>
    <w:rsid w:val="00B96D59"/>
    <w:rsid w:val="00BA6899"/>
    <w:rsid w:val="00BAFA18"/>
    <w:rsid w:val="00BB2B53"/>
    <w:rsid w:val="00BB4F7D"/>
    <w:rsid w:val="00BC2860"/>
    <w:rsid w:val="00BD0387"/>
    <w:rsid w:val="00BD10B7"/>
    <w:rsid w:val="00BD23C9"/>
    <w:rsid w:val="00BD5F51"/>
    <w:rsid w:val="00BE1483"/>
    <w:rsid w:val="00BE2B2C"/>
    <w:rsid w:val="00BE43A8"/>
    <w:rsid w:val="00BF14D7"/>
    <w:rsid w:val="00BF21F6"/>
    <w:rsid w:val="00BF52BF"/>
    <w:rsid w:val="00BF594C"/>
    <w:rsid w:val="00BF7DA1"/>
    <w:rsid w:val="00C0323E"/>
    <w:rsid w:val="00C042CB"/>
    <w:rsid w:val="00C07628"/>
    <w:rsid w:val="00C1445D"/>
    <w:rsid w:val="00C16568"/>
    <w:rsid w:val="00C16EDD"/>
    <w:rsid w:val="00C200C8"/>
    <w:rsid w:val="00C2186C"/>
    <w:rsid w:val="00C22109"/>
    <w:rsid w:val="00C226C0"/>
    <w:rsid w:val="00C23AE3"/>
    <w:rsid w:val="00C27544"/>
    <w:rsid w:val="00C3011E"/>
    <w:rsid w:val="00C3054C"/>
    <w:rsid w:val="00C31B8D"/>
    <w:rsid w:val="00C35394"/>
    <w:rsid w:val="00C3793B"/>
    <w:rsid w:val="00C41C57"/>
    <w:rsid w:val="00C46CD5"/>
    <w:rsid w:val="00C47E03"/>
    <w:rsid w:val="00C47F85"/>
    <w:rsid w:val="00C50E63"/>
    <w:rsid w:val="00C622CB"/>
    <w:rsid w:val="00C65AC1"/>
    <w:rsid w:val="00C7104A"/>
    <w:rsid w:val="00C72C9A"/>
    <w:rsid w:val="00C73CCE"/>
    <w:rsid w:val="00C76C8E"/>
    <w:rsid w:val="00C772BF"/>
    <w:rsid w:val="00C7759B"/>
    <w:rsid w:val="00C816AF"/>
    <w:rsid w:val="00C82626"/>
    <w:rsid w:val="00C8292E"/>
    <w:rsid w:val="00C83A53"/>
    <w:rsid w:val="00C86BAC"/>
    <w:rsid w:val="00C94B3E"/>
    <w:rsid w:val="00C95215"/>
    <w:rsid w:val="00C95809"/>
    <w:rsid w:val="00CA1BB3"/>
    <w:rsid w:val="00CA1D31"/>
    <w:rsid w:val="00CA230D"/>
    <w:rsid w:val="00CA3F4C"/>
    <w:rsid w:val="00CA5F9E"/>
    <w:rsid w:val="00CA7EED"/>
    <w:rsid w:val="00CB18B1"/>
    <w:rsid w:val="00CB31D8"/>
    <w:rsid w:val="00CB36AA"/>
    <w:rsid w:val="00CB745A"/>
    <w:rsid w:val="00CB7E9A"/>
    <w:rsid w:val="00CC3338"/>
    <w:rsid w:val="00CC3A06"/>
    <w:rsid w:val="00CC4006"/>
    <w:rsid w:val="00CC415F"/>
    <w:rsid w:val="00CC42B5"/>
    <w:rsid w:val="00CC4AD2"/>
    <w:rsid w:val="00CD691C"/>
    <w:rsid w:val="00CD7584"/>
    <w:rsid w:val="00CDBF61"/>
    <w:rsid w:val="00CE03E1"/>
    <w:rsid w:val="00CE27C2"/>
    <w:rsid w:val="00CE3DE6"/>
    <w:rsid w:val="00CF127F"/>
    <w:rsid w:val="00CF14A1"/>
    <w:rsid w:val="00CF1FDA"/>
    <w:rsid w:val="00CF2177"/>
    <w:rsid w:val="00CF21E2"/>
    <w:rsid w:val="00D02132"/>
    <w:rsid w:val="00D02659"/>
    <w:rsid w:val="00D033F4"/>
    <w:rsid w:val="00D04666"/>
    <w:rsid w:val="00D14D3E"/>
    <w:rsid w:val="00D22E45"/>
    <w:rsid w:val="00D22ED1"/>
    <w:rsid w:val="00D234C9"/>
    <w:rsid w:val="00D23927"/>
    <w:rsid w:val="00D24664"/>
    <w:rsid w:val="00D3B908"/>
    <w:rsid w:val="00D40FE7"/>
    <w:rsid w:val="00D41DDF"/>
    <w:rsid w:val="00D442EB"/>
    <w:rsid w:val="00D471FC"/>
    <w:rsid w:val="00D47397"/>
    <w:rsid w:val="00D47762"/>
    <w:rsid w:val="00D5350C"/>
    <w:rsid w:val="00D55DB2"/>
    <w:rsid w:val="00D569E7"/>
    <w:rsid w:val="00D56A35"/>
    <w:rsid w:val="00D56A49"/>
    <w:rsid w:val="00D615EC"/>
    <w:rsid w:val="00D61DB4"/>
    <w:rsid w:val="00D638B0"/>
    <w:rsid w:val="00D647C0"/>
    <w:rsid w:val="00D663E6"/>
    <w:rsid w:val="00D71CB5"/>
    <w:rsid w:val="00D72F6E"/>
    <w:rsid w:val="00D74170"/>
    <w:rsid w:val="00D822D2"/>
    <w:rsid w:val="00D847BE"/>
    <w:rsid w:val="00D86C8B"/>
    <w:rsid w:val="00D90095"/>
    <w:rsid w:val="00D90170"/>
    <w:rsid w:val="00D91418"/>
    <w:rsid w:val="00D96F1D"/>
    <w:rsid w:val="00D9741D"/>
    <w:rsid w:val="00DA0E97"/>
    <w:rsid w:val="00DA3369"/>
    <w:rsid w:val="00DA475B"/>
    <w:rsid w:val="00DA6971"/>
    <w:rsid w:val="00DA6E38"/>
    <w:rsid w:val="00DA721D"/>
    <w:rsid w:val="00DB512B"/>
    <w:rsid w:val="00DB5D6F"/>
    <w:rsid w:val="00DC56A5"/>
    <w:rsid w:val="00DC6A85"/>
    <w:rsid w:val="00DD14E9"/>
    <w:rsid w:val="00DD1BA5"/>
    <w:rsid w:val="00DD2523"/>
    <w:rsid w:val="00DD36EA"/>
    <w:rsid w:val="00DD54A1"/>
    <w:rsid w:val="00DD70A3"/>
    <w:rsid w:val="00DE3A1A"/>
    <w:rsid w:val="00DE4E81"/>
    <w:rsid w:val="00DF667D"/>
    <w:rsid w:val="00DF740D"/>
    <w:rsid w:val="00E011A5"/>
    <w:rsid w:val="00E02A1B"/>
    <w:rsid w:val="00E032B0"/>
    <w:rsid w:val="00E04592"/>
    <w:rsid w:val="00E12978"/>
    <w:rsid w:val="00E14169"/>
    <w:rsid w:val="00E15433"/>
    <w:rsid w:val="00E157F1"/>
    <w:rsid w:val="00E160C3"/>
    <w:rsid w:val="00E2169C"/>
    <w:rsid w:val="00E242CE"/>
    <w:rsid w:val="00E4498F"/>
    <w:rsid w:val="00E4532D"/>
    <w:rsid w:val="00E458C5"/>
    <w:rsid w:val="00E4725B"/>
    <w:rsid w:val="00E477A4"/>
    <w:rsid w:val="00E5224A"/>
    <w:rsid w:val="00E53363"/>
    <w:rsid w:val="00E5696F"/>
    <w:rsid w:val="00E621EA"/>
    <w:rsid w:val="00E67A34"/>
    <w:rsid w:val="00E67F06"/>
    <w:rsid w:val="00E72DBC"/>
    <w:rsid w:val="00E74796"/>
    <w:rsid w:val="00E74A31"/>
    <w:rsid w:val="00E8113B"/>
    <w:rsid w:val="00E86C17"/>
    <w:rsid w:val="00E87780"/>
    <w:rsid w:val="00E901DD"/>
    <w:rsid w:val="00E942CD"/>
    <w:rsid w:val="00E96A81"/>
    <w:rsid w:val="00EA35AC"/>
    <w:rsid w:val="00EA402C"/>
    <w:rsid w:val="00EA4D4C"/>
    <w:rsid w:val="00EB3274"/>
    <w:rsid w:val="00EB3B4D"/>
    <w:rsid w:val="00EC28AE"/>
    <w:rsid w:val="00EC3F34"/>
    <w:rsid w:val="00EC498B"/>
    <w:rsid w:val="00ED34C0"/>
    <w:rsid w:val="00ED356C"/>
    <w:rsid w:val="00ED3AAF"/>
    <w:rsid w:val="00ED6E35"/>
    <w:rsid w:val="00ED73CD"/>
    <w:rsid w:val="00EF3550"/>
    <w:rsid w:val="00EF38DF"/>
    <w:rsid w:val="00EF3CB4"/>
    <w:rsid w:val="00EF505A"/>
    <w:rsid w:val="00F015B2"/>
    <w:rsid w:val="00F01FA7"/>
    <w:rsid w:val="00F032BD"/>
    <w:rsid w:val="00F04A66"/>
    <w:rsid w:val="00F118CA"/>
    <w:rsid w:val="00F12AEF"/>
    <w:rsid w:val="00F20706"/>
    <w:rsid w:val="00F2460A"/>
    <w:rsid w:val="00F3041A"/>
    <w:rsid w:val="00F34439"/>
    <w:rsid w:val="00F3487C"/>
    <w:rsid w:val="00F35552"/>
    <w:rsid w:val="00F36C69"/>
    <w:rsid w:val="00F37A55"/>
    <w:rsid w:val="00F4530D"/>
    <w:rsid w:val="00F50DC4"/>
    <w:rsid w:val="00F53C67"/>
    <w:rsid w:val="00F55796"/>
    <w:rsid w:val="00F570CE"/>
    <w:rsid w:val="00F573BD"/>
    <w:rsid w:val="00F62A53"/>
    <w:rsid w:val="00F65552"/>
    <w:rsid w:val="00F66766"/>
    <w:rsid w:val="00F67BA0"/>
    <w:rsid w:val="00F71485"/>
    <w:rsid w:val="00F756E7"/>
    <w:rsid w:val="00F92414"/>
    <w:rsid w:val="00F9350F"/>
    <w:rsid w:val="00F94F93"/>
    <w:rsid w:val="00F95F46"/>
    <w:rsid w:val="00F96040"/>
    <w:rsid w:val="00FA2646"/>
    <w:rsid w:val="00FB50A0"/>
    <w:rsid w:val="00FC09A0"/>
    <w:rsid w:val="00FC0CEE"/>
    <w:rsid w:val="00FC4481"/>
    <w:rsid w:val="00FC5B6A"/>
    <w:rsid w:val="00FD3B8C"/>
    <w:rsid w:val="00FD6BA8"/>
    <w:rsid w:val="00FE01A2"/>
    <w:rsid w:val="00FE1F12"/>
    <w:rsid w:val="00FE2475"/>
    <w:rsid w:val="00FE3238"/>
    <w:rsid w:val="00FE3794"/>
    <w:rsid w:val="00FE3FA0"/>
    <w:rsid w:val="00FE449D"/>
    <w:rsid w:val="00FE4762"/>
    <w:rsid w:val="00FE492A"/>
    <w:rsid w:val="00FE50BC"/>
    <w:rsid w:val="00FE5F26"/>
    <w:rsid w:val="00FF5240"/>
    <w:rsid w:val="00FF56FB"/>
    <w:rsid w:val="013D3D92"/>
    <w:rsid w:val="014A54A6"/>
    <w:rsid w:val="01892116"/>
    <w:rsid w:val="03371DDA"/>
    <w:rsid w:val="03CD5DF8"/>
    <w:rsid w:val="0422C660"/>
    <w:rsid w:val="049D594D"/>
    <w:rsid w:val="05DB4715"/>
    <w:rsid w:val="05F47885"/>
    <w:rsid w:val="07DD084F"/>
    <w:rsid w:val="07FBBB05"/>
    <w:rsid w:val="0803D11B"/>
    <w:rsid w:val="080EB2D1"/>
    <w:rsid w:val="08C22EB9"/>
    <w:rsid w:val="0919A4E8"/>
    <w:rsid w:val="09392A48"/>
    <w:rsid w:val="0983F672"/>
    <w:rsid w:val="09AE9D61"/>
    <w:rsid w:val="09BFFD90"/>
    <w:rsid w:val="09DE105E"/>
    <w:rsid w:val="09E58E84"/>
    <w:rsid w:val="09E85046"/>
    <w:rsid w:val="0A141EBB"/>
    <w:rsid w:val="0A6804E3"/>
    <w:rsid w:val="0A749C06"/>
    <w:rsid w:val="0ABB2C2D"/>
    <w:rsid w:val="0B02D875"/>
    <w:rsid w:val="0B81C220"/>
    <w:rsid w:val="0B8EE73C"/>
    <w:rsid w:val="0BD1838B"/>
    <w:rsid w:val="0BFA5BA5"/>
    <w:rsid w:val="0C91447C"/>
    <w:rsid w:val="0D87F2A8"/>
    <w:rsid w:val="0DEE651B"/>
    <w:rsid w:val="0E1E7AC5"/>
    <w:rsid w:val="0E56F75A"/>
    <w:rsid w:val="0E626118"/>
    <w:rsid w:val="0EF0E67C"/>
    <w:rsid w:val="0F1EFB9F"/>
    <w:rsid w:val="0F2E3AEA"/>
    <w:rsid w:val="0F5A4B7C"/>
    <w:rsid w:val="0FD65AB1"/>
    <w:rsid w:val="101314E3"/>
    <w:rsid w:val="11B5ADF0"/>
    <w:rsid w:val="121E5303"/>
    <w:rsid w:val="125B05C6"/>
    <w:rsid w:val="131166B7"/>
    <w:rsid w:val="13A0E7E6"/>
    <w:rsid w:val="13EA2314"/>
    <w:rsid w:val="148761E3"/>
    <w:rsid w:val="1515DD3D"/>
    <w:rsid w:val="15260BDD"/>
    <w:rsid w:val="155A9D81"/>
    <w:rsid w:val="155F6FBB"/>
    <w:rsid w:val="15C5D831"/>
    <w:rsid w:val="1615F931"/>
    <w:rsid w:val="16A71C88"/>
    <w:rsid w:val="173569C6"/>
    <w:rsid w:val="175660E2"/>
    <w:rsid w:val="177D1452"/>
    <w:rsid w:val="1783B999"/>
    <w:rsid w:val="17D29230"/>
    <w:rsid w:val="17F6BDE0"/>
    <w:rsid w:val="184FDD72"/>
    <w:rsid w:val="18A0C072"/>
    <w:rsid w:val="19025F09"/>
    <w:rsid w:val="19794E74"/>
    <w:rsid w:val="19B86B97"/>
    <w:rsid w:val="1A24BF23"/>
    <w:rsid w:val="1A275C33"/>
    <w:rsid w:val="1A2E6501"/>
    <w:rsid w:val="1A696C56"/>
    <w:rsid w:val="1ABE7A11"/>
    <w:rsid w:val="1AFD5F71"/>
    <w:rsid w:val="1B2C5A8B"/>
    <w:rsid w:val="1B68228E"/>
    <w:rsid w:val="1BAE19FE"/>
    <w:rsid w:val="1C29BF45"/>
    <w:rsid w:val="1D13EE88"/>
    <w:rsid w:val="1D267B1F"/>
    <w:rsid w:val="1DB63C4D"/>
    <w:rsid w:val="1E70320F"/>
    <w:rsid w:val="1F680A70"/>
    <w:rsid w:val="1F964C3E"/>
    <w:rsid w:val="1FC2A430"/>
    <w:rsid w:val="2038D12A"/>
    <w:rsid w:val="207F5BB0"/>
    <w:rsid w:val="20C8262B"/>
    <w:rsid w:val="20D1AA9C"/>
    <w:rsid w:val="213635BB"/>
    <w:rsid w:val="21779848"/>
    <w:rsid w:val="21892D1A"/>
    <w:rsid w:val="2190F254"/>
    <w:rsid w:val="2196B9FA"/>
    <w:rsid w:val="220C5B64"/>
    <w:rsid w:val="221B580A"/>
    <w:rsid w:val="224FE9A2"/>
    <w:rsid w:val="227D1236"/>
    <w:rsid w:val="22DF84DA"/>
    <w:rsid w:val="232DA557"/>
    <w:rsid w:val="23536161"/>
    <w:rsid w:val="2391073E"/>
    <w:rsid w:val="24222460"/>
    <w:rsid w:val="24776959"/>
    <w:rsid w:val="24968F36"/>
    <w:rsid w:val="24AE77BA"/>
    <w:rsid w:val="24F59982"/>
    <w:rsid w:val="25142FD3"/>
    <w:rsid w:val="25FF13A3"/>
    <w:rsid w:val="26E4270E"/>
    <w:rsid w:val="271CAFCB"/>
    <w:rsid w:val="27492074"/>
    <w:rsid w:val="28860D67"/>
    <w:rsid w:val="29406D76"/>
    <w:rsid w:val="29486CE2"/>
    <w:rsid w:val="2953D0D9"/>
    <w:rsid w:val="29C06059"/>
    <w:rsid w:val="2A02315D"/>
    <w:rsid w:val="2A601B19"/>
    <w:rsid w:val="2AC6F407"/>
    <w:rsid w:val="2AD37663"/>
    <w:rsid w:val="2B135295"/>
    <w:rsid w:val="2B2167C4"/>
    <w:rsid w:val="2B837157"/>
    <w:rsid w:val="2BCF9257"/>
    <w:rsid w:val="2C4ED3EC"/>
    <w:rsid w:val="2C75DD21"/>
    <w:rsid w:val="2E5C7C07"/>
    <w:rsid w:val="2EB9B231"/>
    <w:rsid w:val="30211074"/>
    <w:rsid w:val="302CA16B"/>
    <w:rsid w:val="3056E27A"/>
    <w:rsid w:val="30A54A65"/>
    <w:rsid w:val="30B555B5"/>
    <w:rsid w:val="314A18B3"/>
    <w:rsid w:val="31D5028A"/>
    <w:rsid w:val="322B5F52"/>
    <w:rsid w:val="325EE8DD"/>
    <w:rsid w:val="32629241"/>
    <w:rsid w:val="32697C03"/>
    <w:rsid w:val="32CB550B"/>
    <w:rsid w:val="32F08830"/>
    <w:rsid w:val="32F2BE75"/>
    <w:rsid w:val="330E56BF"/>
    <w:rsid w:val="33787441"/>
    <w:rsid w:val="33CE9AA3"/>
    <w:rsid w:val="340ABEB0"/>
    <w:rsid w:val="345E87DA"/>
    <w:rsid w:val="34FE8F85"/>
    <w:rsid w:val="355D61A5"/>
    <w:rsid w:val="35DADE93"/>
    <w:rsid w:val="36CCBA5B"/>
    <w:rsid w:val="36E0852F"/>
    <w:rsid w:val="37EBEF6A"/>
    <w:rsid w:val="38854986"/>
    <w:rsid w:val="38B62FD9"/>
    <w:rsid w:val="38F4B3AA"/>
    <w:rsid w:val="3913AB16"/>
    <w:rsid w:val="39336B0C"/>
    <w:rsid w:val="3AB2F237"/>
    <w:rsid w:val="3B0A950F"/>
    <w:rsid w:val="3B72F7D0"/>
    <w:rsid w:val="3B731870"/>
    <w:rsid w:val="3BBE9271"/>
    <w:rsid w:val="3C7E157B"/>
    <w:rsid w:val="3C9E7864"/>
    <w:rsid w:val="3CF55D0C"/>
    <w:rsid w:val="3D0102E7"/>
    <w:rsid w:val="3D2AB85C"/>
    <w:rsid w:val="3E847EAD"/>
    <w:rsid w:val="3EC5BB65"/>
    <w:rsid w:val="3F1C2BAB"/>
    <w:rsid w:val="3F7CFDA8"/>
    <w:rsid w:val="4056476F"/>
    <w:rsid w:val="4115A800"/>
    <w:rsid w:val="41E03CEE"/>
    <w:rsid w:val="41F0A618"/>
    <w:rsid w:val="4311C111"/>
    <w:rsid w:val="442583AF"/>
    <w:rsid w:val="44731098"/>
    <w:rsid w:val="44CFB0EB"/>
    <w:rsid w:val="45060F77"/>
    <w:rsid w:val="4551BCD6"/>
    <w:rsid w:val="4569B5EF"/>
    <w:rsid w:val="45A23692"/>
    <w:rsid w:val="45D44547"/>
    <w:rsid w:val="4623213E"/>
    <w:rsid w:val="463AD0B7"/>
    <w:rsid w:val="4653766B"/>
    <w:rsid w:val="469FA84E"/>
    <w:rsid w:val="471693A6"/>
    <w:rsid w:val="473B020E"/>
    <w:rsid w:val="47CA90AB"/>
    <w:rsid w:val="48478206"/>
    <w:rsid w:val="48CCAA3C"/>
    <w:rsid w:val="49FD5345"/>
    <w:rsid w:val="4B5DD5B6"/>
    <w:rsid w:val="4B6E4F9D"/>
    <w:rsid w:val="4B81DE4A"/>
    <w:rsid w:val="4C73EDAB"/>
    <w:rsid w:val="4CB96A8B"/>
    <w:rsid w:val="4E9EC460"/>
    <w:rsid w:val="4EC8AEF0"/>
    <w:rsid w:val="4F02F41F"/>
    <w:rsid w:val="4FA0DF5B"/>
    <w:rsid w:val="4FCE229C"/>
    <w:rsid w:val="50DA2ED2"/>
    <w:rsid w:val="511BD756"/>
    <w:rsid w:val="51449C47"/>
    <w:rsid w:val="518D505F"/>
    <w:rsid w:val="51E9F5DA"/>
    <w:rsid w:val="52275037"/>
    <w:rsid w:val="52A87CB8"/>
    <w:rsid w:val="52B5E9F8"/>
    <w:rsid w:val="54AB1598"/>
    <w:rsid w:val="54D80422"/>
    <w:rsid w:val="54F22112"/>
    <w:rsid w:val="554199ED"/>
    <w:rsid w:val="56325718"/>
    <w:rsid w:val="5657CD7C"/>
    <w:rsid w:val="565AC081"/>
    <w:rsid w:val="5665681F"/>
    <w:rsid w:val="56D5D1D2"/>
    <w:rsid w:val="57689D37"/>
    <w:rsid w:val="57C3A043"/>
    <w:rsid w:val="5851686E"/>
    <w:rsid w:val="58E7D400"/>
    <w:rsid w:val="59DD5A79"/>
    <w:rsid w:val="5A4E8DB7"/>
    <w:rsid w:val="5B0CD674"/>
    <w:rsid w:val="5BA1878F"/>
    <w:rsid w:val="5BDF4180"/>
    <w:rsid w:val="5C43F3BD"/>
    <w:rsid w:val="5C47E9FE"/>
    <w:rsid w:val="5C7154AE"/>
    <w:rsid w:val="5CDAE827"/>
    <w:rsid w:val="5D225910"/>
    <w:rsid w:val="5D298067"/>
    <w:rsid w:val="5DA4B352"/>
    <w:rsid w:val="5DA4F554"/>
    <w:rsid w:val="5DCDAF21"/>
    <w:rsid w:val="5DDD4835"/>
    <w:rsid w:val="5E8405BA"/>
    <w:rsid w:val="5EB32C5D"/>
    <w:rsid w:val="5F1858A1"/>
    <w:rsid w:val="5F19A4C9"/>
    <w:rsid w:val="5FC6DD36"/>
    <w:rsid w:val="5FE69BF0"/>
    <w:rsid w:val="600A66EB"/>
    <w:rsid w:val="6184648F"/>
    <w:rsid w:val="61BFCA2A"/>
    <w:rsid w:val="6230D2B3"/>
    <w:rsid w:val="632034F0"/>
    <w:rsid w:val="63C07600"/>
    <w:rsid w:val="63D546FF"/>
    <w:rsid w:val="64758377"/>
    <w:rsid w:val="648C9D7F"/>
    <w:rsid w:val="64B395AE"/>
    <w:rsid w:val="64E9BB1D"/>
    <w:rsid w:val="6572EEAB"/>
    <w:rsid w:val="65811BAB"/>
    <w:rsid w:val="65926414"/>
    <w:rsid w:val="66035C23"/>
    <w:rsid w:val="660E8D87"/>
    <w:rsid w:val="6657D5B2"/>
    <w:rsid w:val="66AA3215"/>
    <w:rsid w:val="66ED1987"/>
    <w:rsid w:val="66F2EB13"/>
    <w:rsid w:val="6712EAC9"/>
    <w:rsid w:val="67D56D64"/>
    <w:rsid w:val="67F6469B"/>
    <w:rsid w:val="68516886"/>
    <w:rsid w:val="6864A7A5"/>
    <w:rsid w:val="68A75EB2"/>
    <w:rsid w:val="68D69C59"/>
    <w:rsid w:val="68DB42AF"/>
    <w:rsid w:val="690EA411"/>
    <w:rsid w:val="69D1CD34"/>
    <w:rsid w:val="69EF72B7"/>
    <w:rsid w:val="6A43C8F4"/>
    <w:rsid w:val="6A4EFCAF"/>
    <w:rsid w:val="6BA09C8A"/>
    <w:rsid w:val="6BCE7EDC"/>
    <w:rsid w:val="6C7A4B43"/>
    <w:rsid w:val="6C93903A"/>
    <w:rsid w:val="6DA5CA81"/>
    <w:rsid w:val="6E01A381"/>
    <w:rsid w:val="6E4B544A"/>
    <w:rsid w:val="6ED1869C"/>
    <w:rsid w:val="6F34F392"/>
    <w:rsid w:val="70138797"/>
    <w:rsid w:val="703A4BFB"/>
    <w:rsid w:val="704A0877"/>
    <w:rsid w:val="705632E7"/>
    <w:rsid w:val="7065175D"/>
    <w:rsid w:val="70818A3F"/>
    <w:rsid w:val="71C93627"/>
    <w:rsid w:val="7250779A"/>
    <w:rsid w:val="72B1E8D5"/>
    <w:rsid w:val="73140C91"/>
    <w:rsid w:val="7315A19D"/>
    <w:rsid w:val="736C1EA4"/>
    <w:rsid w:val="74315B42"/>
    <w:rsid w:val="749C68E1"/>
    <w:rsid w:val="74BC2AD0"/>
    <w:rsid w:val="762CCC5F"/>
    <w:rsid w:val="76B58072"/>
    <w:rsid w:val="77249636"/>
    <w:rsid w:val="782DD884"/>
    <w:rsid w:val="7870935E"/>
    <w:rsid w:val="789AB4C9"/>
    <w:rsid w:val="78A60ED4"/>
    <w:rsid w:val="78E7F7DC"/>
    <w:rsid w:val="7ABFC24A"/>
    <w:rsid w:val="7B4C48F3"/>
    <w:rsid w:val="7BC7D586"/>
    <w:rsid w:val="7BF261B2"/>
    <w:rsid w:val="7C3949D3"/>
    <w:rsid w:val="7D18C86C"/>
    <w:rsid w:val="7DB7D596"/>
    <w:rsid w:val="7E2E4439"/>
    <w:rsid w:val="7E4E4A92"/>
    <w:rsid w:val="7E5EFAA3"/>
    <w:rsid w:val="7ECA6CD4"/>
    <w:rsid w:val="7EFC31CA"/>
    <w:rsid w:val="7F15D245"/>
    <w:rsid w:val="7F196395"/>
    <w:rsid w:val="7F761C65"/>
    <w:rsid w:val="7F7A45B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86722"/>
  <w15:chartTrackingRefBased/>
  <w15:docId w15:val="{CB9E552A-1D7A-41FA-9BFF-1348B4DA5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B29"/>
  </w:style>
  <w:style w:type="paragraph" w:styleId="Ttulo1">
    <w:name w:val="heading 1"/>
    <w:basedOn w:val="Normal"/>
    <w:next w:val="Normal"/>
    <w:link w:val="Ttulo1Car"/>
    <w:uiPriority w:val="9"/>
    <w:qFormat/>
    <w:rsid w:val="00B75C73"/>
    <w:pPr>
      <w:keepNext/>
      <w:keepLines/>
      <w:numPr>
        <w:numId w:val="6"/>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B75C73"/>
    <w:pPr>
      <w:keepNext/>
      <w:keepLines/>
      <w:numPr>
        <w:ilvl w:val="1"/>
        <w:numId w:val="6"/>
      </w:numPr>
      <w:spacing w:before="40" w:after="0"/>
      <w:ind w:left="576"/>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B75C73"/>
    <w:pPr>
      <w:keepNext/>
      <w:keepLines/>
      <w:numPr>
        <w:ilvl w:val="2"/>
        <w:numId w:val="6"/>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B75C73"/>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B75C73"/>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B75C73"/>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B75C73"/>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B75C73"/>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B75C73"/>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160C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160C3"/>
  </w:style>
  <w:style w:type="paragraph" w:styleId="Piedepgina">
    <w:name w:val="footer"/>
    <w:basedOn w:val="Normal"/>
    <w:link w:val="PiedepginaCar"/>
    <w:uiPriority w:val="99"/>
    <w:unhideWhenUsed/>
    <w:rsid w:val="00E160C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160C3"/>
  </w:style>
  <w:style w:type="character" w:customStyle="1" w:styleId="Ttulo1Car">
    <w:name w:val="Título 1 Car"/>
    <w:basedOn w:val="Fuentedeprrafopredeter"/>
    <w:link w:val="Ttulo1"/>
    <w:uiPriority w:val="9"/>
    <w:rsid w:val="00B75C73"/>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B75C73"/>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B75C73"/>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B75C73"/>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uiPriority w:val="9"/>
    <w:semiHidden/>
    <w:rsid w:val="00B75C73"/>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semiHidden/>
    <w:rsid w:val="00B75C73"/>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B75C73"/>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B75C73"/>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B75C73"/>
    <w:rPr>
      <w:rFonts w:asciiTheme="majorHAnsi" w:eastAsiaTheme="majorEastAsia" w:hAnsiTheme="majorHAnsi" w:cstheme="majorBidi"/>
      <w:i/>
      <w:iCs/>
      <w:color w:val="272727" w:themeColor="text1" w:themeTint="D8"/>
      <w:sz w:val="21"/>
      <w:szCs w:val="21"/>
    </w:rPr>
  </w:style>
  <w:style w:type="paragraph" w:customStyle="1" w:styleId="Normal1">
    <w:name w:val="Normal1"/>
    <w:rsid w:val="009A4EC5"/>
    <w:pPr>
      <w:spacing w:after="200" w:line="276" w:lineRule="auto"/>
      <w:jc w:val="both"/>
    </w:pPr>
    <w:rPr>
      <w:rFonts w:ascii="Calibri" w:eastAsia="Yu Mincho" w:hAnsi="Calibri" w:cs="Calibri"/>
      <w:kern w:val="0"/>
      <w14:ligatures w14:val="none"/>
    </w:rPr>
  </w:style>
  <w:style w:type="table" w:styleId="Tablanormal2">
    <w:name w:val="Plain Table 2"/>
    <w:basedOn w:val="Tablanormal"/>
    <w:uiPriority w:val="42"/>
    <w:rsid w:val="009A4EC5"/>
    <w:pPr>
      <w:spacing w:after="0" w:line="240" w:lineRule="auto"/>
    </w:pPr>
    <w:rPr>
      <w:rFonts w:ascii="Calibri" w:eastAsia="Calibri" w:hAnsi="Calibri" w:cs="Times New Roman"/>
      <w:kern w:val="0"/>
      <w:sz w:val="20"/>
      <w:szCs w:val="20"/>
      <w:lang w:eastAsia="es-CO"/>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Descripcin">
    <w:name w:val="caption"/>
    <w:basedOn w:val="Normal"/>
    <w:next w:val="Normal"/>
    <w:link w:val="DescripcinCar"/>
    <w:uiPriority w:val="35"/>
    <w:unhideWhenUsed/>
    <w:qFormat/>
    <w:rsid w:val="009A4EC5"/>
    <w:pPr>
      <w:spacing w:after="200" w:line="240" w:lineRule="auto"/>
      <w:jc w:val="both"/>
    </w:pPr>
    <w:rPr>
      <w:rFonts w:eastAsia="Calibri" w:cs="Times New Roman"/>
      <w:i/>
      <w:iCs/>
      <w:color w:val="44546A" w:themeColor="text2"/>
      <w:kern w:val="0"/>
      <w:sz w:val="18"/>
      <w:szCs w:val="18"/>
      <w14:ligatures w14:val="none"/>
    </w:rPr>
  </w:style>
  <w:style w:type="paragraph" w:styleId="Prrafodelista">
    <w:name w:val="List Paragraph"/>
    <w:aliases w:val="Ha,titulo 3,HOJA,Bolita,Párrafo de lista4,BOLADEF,Párrafo de lista3,Párrafo de lista21,BOLA,Nivel 1 OS,Párrafo de lista5,Titulo 2,Colorful List Accent 1,Colorful List - Accent 11,Viñeta 6,Flor,Bullets,Titulo 8,Guión,lp1"/>
    <w:basedOn w:val="Normal"/>
    <w:link w:val="PrrafodelistaCar"/>
    <w:uiPriority w:val="34"/>
    <w:qFormat/>
    <w:rsid w:val="00AF3271"/>
    <w:pPr>
      <w:spacing w:after="0" w:line="240" w:lineRule="auto"/>
      <w:ind w:left="720"/>
      <w:contextualSpacing/>
      <w:jc w:val="both"/>
    </w:pPr>
    <w:rPr>
      <w:rFonts w:eastAsia="Calibri" w:cs="Times New Roman"/>
      <w:kern w:val="0"/>
      <w:sz w:val="24"/>
      <w14:ligatures w14:val="none"/>
    </w:rPr>
  </w:style>
  <w:style w:type="character" w:customStyle="1" w:styleId="PrrafodelistaCar">
    <w:name w:val="Párrafo de lista Car"/>
    <w:aliases w:val="Ha Car,titulo 3 Car,HOJA Car,Bolita Car,Párrafo de lista4 Car,BOLADEF Car,Párrafo de lista3 Car,Párrafo de lista21 Car,BOLA Car,Nivel 1 OS Car,Párrafo de lista5 Car,Titulo 2 Car,Colorful List Accent 1 Car,Viñeta 6 Car,Flor Car"/>
    <w:basedOn w:val="Fuentedeprrafopredeter"/>
    <w:link w:val="Prrafodelista"/>
    <w:uiPriority w:val="34"/>
    <w:qFormat/>
    <w:locked/>
    <w:rsid w:val="00AF3271"/>
    <w:rPr>
      <w:rFonts w:eastAsia="Calibri" w:cs="Times New Roman"/>
      <w:kern w:val="0"/>
      <w:sz w:val="24"/>
      <w14:ligatures w14:val="none"/>
    </w:rPr>
  </w:style>
  <w:style w:type="paragraph" w:customStyle="1" w:styleId="Default">
    <w:name w:val="Default"/>
    <w:rsid w:val="00D04666"/>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customStyle="1" w:styleId="TextonotapieCar">
    <w:name w:val="Texto nota pie Car"/>
    <w:aliases w:val="Car1 Car,Texto nota pie Car Car Car Car Car Car Car Car Car1,Texto nota pie Car Car Car Car Car Car,Texto nota pie Car Car Car Car Car1,ft Car Car,Texto nota pie Car Car Car Car Car Car Car Car Car Car,ft Car1,FA Fu Car,Car4 Car,f Car"/>
    <w:basedOn w:val="Fuentedeprrafopredeter"/>
    <w:link w:val="Textonotapie"/>
    <w:uiPriority w:val="99"/>
    <w:semiHidden/>
    <w:locked/>
    <w:rsid w:val="00D04666"/>
  </w:style>
  <w:style w:type="paragraph" w:styleId="Textonotapie">
    <w:name w:val="footnote text"/>
    <w:aliases w:val="Car1,Texto nota pie Car Car Car Car Car Car Car Car,Texto nota pie Car Car Car Car Car,Texto nota pie Car Car Car Car,ft Car,Texto nota pie Car Car Car Car Car Car Car Car Car,Texto nota pie Car Car Car Car Car Car Car,ft,FA Fu,Car4,Car,f"/>
    <w:basedOn w:val="Normal"/>
    <w:link w:val="TextonotapieCar"/>
    <w:uiPriority w:val="99"/>
    <w:semiHidden/>
    <w:unhideWhenUsed/>
    <w:qFormat/>
    <w:rsid w:val="00D04666"/>
    <w:pPr>
      <w:spacing w:after="0" w:line="240" w:lineRule="auto"/>
      <w:jc w:val="both"/>
    </w:pPr>
  </w:style>
  <w:style w:type="character" w:customStyle="1" w:styleId="TextonotapieCar1">
    <w:name w:val="Texto nota pie Car1"/>
    <w:basedOn w:val="Fuentedeprrafopredeter"/>
    <w:uiPriority w:val="99"/>
    <w:semiHidden/>
    <w:rsid w:val="00D04666"/>
    <w:rPr>
      <w:sz w:val="20"/>
      <w:szCs w:val="20"/>
    </w:rPr>
  </w:style>
  <w:style w:type="character" w:styleId="Refdenotaalpie">
    <w:name w:val="footnote reference"/>
    <w:aliases w:val="Texto nota al pie,Nota de pie,referencia nota al pie,Ref. de nota al pieREF1,Ref. de nota al pie2,Footnote symbol,Footnote,FC,Texto de nota al pie,BVI fnr,Ref,de nota al pie,Pie de pagina,Appel note de bas de p,Style 24,16 Point,ftre"/>
    <w:link w:val="Char2"/>
    <w:uiPriority w:val="99"/>
    <w:unhideWhenUsed/>
    <w:qFormat/>
    <w:rsid w:val="00D04666"/>
    <w:rPr>
      <w:vertAlign w:val="superscript"/>
    </w:rPr>
  </w:style>
  <w:style w:type="paragraph" w:customStyle="1" w:styleId="Char2">
    <w:name w:val="Char2"/>
    <w:basedOn w:val="Normal"/>
    <w:link w:val="Refdenotaalpie"/>
    <w:uiPriority w:val="99"/>
    <w:rsid w:val="00D04666"/>
    <w:pPr>
      <w:spacing w:line="240" w:lineRule="exact"/>
      <w:jc w:val="both"/>
    </w:pPr>
    <w:rPr>
      <w:vertAlign w:val="superscript"/>
    </w:rPr>
  </w:style>
  <w:style w:type="character" w:customStyle="1" w:styleId="DescripcinCar">
    <w:name w:val="Descripción Car"/>
    <w:basedOn w:val="Fuentedeprrafopredeter"/>
    <w:link w:val="Descripcin"/>
    <w:uiPriority w:val="35"/>
    <w:rsid w:val="00632BCE"/>
    <w:rPr>
      <w:rFonts w:eastAsia="Calibri" w:cs="Times New Roman"/>
      <w:i/>
      <w:iCs/>
      <w:color w:val="44546A" w:themeColor="text2"/>
      <w:kern w:val="0"/>
      <w:sz w:val="18"/>
      <w:szCs w:val="18"/>
      <w14:ligatures w14:val="none"/>
    </w:rPr>
  </w:style>
  <w:style w:type="paragraph" w:styleId="Listaconvietas">
    <w:name w:val="List Bullet"/>
    <w:basedOn w:val="Normal"/>
    <w:uiPriority w:val="1"/>
    <w:unhideWhenUsed/>
    <w:rsid w:val="003D449E"/>
    <w:pPr>
      <w:numPr>
        <w:numId w:val="8"/>
      </w:numPr>
      <w:spacing w:before="40" w:after="40" w:line="288" w:lineRule="auto"/>
    </w:pPr>
    <w:rPr>
      <w:color w:val="595959" w:themeColor="text1" w:themeTint="A6"/>
      <w:kern w:val="20"/>
      <w:sz w:val="20"/>
      <w:szCs w:val="20"/>
      <w:lang w:val="en-US" w:eastAsia="ja-JP"/>
      <w14:ligatures w14:val="none"/>
    </w:rPr>
  </w:style>
  <w:style w:type="table" w:styleId="Tablaconcuadrcula6concolores-nfasis1">
    <w:name w:val="Grid Table 6 Colorful Accent 1"/>
    <w:basedOn w:val="Tablanormal"/>
    <w:uiPriority w:val="51"/>
    <w:rsid w:val="0033156F"/>
    <w:pPr>
      <w:spacing w:before="40" w:after="0" w:line="240" w:lineRule="auto"/>
    </w:pPr>
    <w:rPr>
      <w:color w:val="2F5496" w:themeColor="accent1" w:themeShade="BF"/>
      <w:kern w:val="0"/>
      <w:sz w:val="20"/>
      <w:szCs w:val="20"/>
      <w:lang w:val="en-US" w:eastAsia="ja-JP"/>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Subttulo">
    <w:name w:val="Subtitle"/>
    <w:basedOn w:val="Normal"/>
    <w:next w:val="Normal"/>
    <w:link w:val="SubttuloCar"/>
    <w:uiPriority w:val="11"/>
    <w:unhideWhenUsed/>
    <w:qFormat/>
    <w:rsid w:val="0033156F"/>
    <w:pPr>
      <w:numPr>
        <w:ilvl w:val="1"/>
      </w:numPr>
      <w:spacing w:before="40" w:line="288" w:lineRule="auto"/>
      <w:ind w:left="432" w:right="1080"/>
    </w:pPr>
    <w:rPr>
      <w:rFonts w:asciiTheme="majorHAnsi" w:eastAsiaTheme="majorEastAsia" w:hAnsiTheme="majorHAnsi" w:cstheme="majorBidi"/>
      <w:caps/>
      <w:color w:val="4472C4" w:themeColor="accent1"/>
      <w:kern w:val="20"/>
      <w:sz w:val="56"/>
      <w:szCs w:val="20"/>
      <w:lang w:val="en-US" w:eastAsia="ja-JP"/>
      <w14:ligatures w14:val="none"/>
    </w:rPr>
  </w:style>
  <w:style w:type="character" w:customStyle="1" w:styleId="SubttuloCar">
    <w:name w:val="Subtítulo Car"/>
    <w:basedOn w:val="Fuentedeprrafopredeter"/>
    <w:link w:val="Subttulo"/>
    <w:uiPriority w:val="11"/>
    <w:rsid w:val="0033156F"/>
    <w:rPr>
      <w:rFonts w:asciiTheme="majorHAnsi" w:eastAsiaTheme="majorEastAsia" w:hAnsiTheme="majorHAnsi" w:cstheme="majorBidi"/>
      <w:caps/>
      <w:color w:val="4472C4" w:themeColor="accent1"/>
      <w:kern w:val="20"/>
      <w:sz w:val="56"/>
      <w:szCs w:val="20"/>
      <w:lang w:val="en-US" w:eastAsia="ja-JP"/>
      <w14:ligatures w14:val="none"/>
    </w:rPr>
  </w:style>
  <w:style w:type="paragraph" w:customStyle="1" w:styleId="FIGYTAB">
    <w:name w:val="FIG Y TAB"/>
    <w:basedOn w:val="Descripcin"/>
    <w:link w:val="FIGYTABCar"/>
    <w:qFormat/>
    <w:rsid w:val="00DD1BA5"/>
    <w:pPr>
      <w:jc w:val="left"/>
    </w:pPr>
    <w:rPr>
      <w:rFonts w:ascii="Arial" w:hAnsi="Arial"/>
      <w:bCs/>
      <w:iCs w:val="0"/>
      <w:kern w:val="20"/>
      <w:szCs w:val="20"/>
    </w:rPr>
  </w:style>
  <w:style w:type="character" w:customStyle="1" w:styleId="FIGYTABCar">
    <w:name w:val="FIG Y TAB Car"/>
    <w:basedOn w:val="DescripcinCar"/>
    <w:link w:val="FIGYTAB"/>
    <w:rsid w:val="00DD1BA5"/>
    <w:rPr>
      <w:rFonts w:ascii="Arial" w:eastAsia="Calibri" w:hAnsi="Arial" w:cs="Times New Roman"/>
      <w:bCs/>
      <w:i/>
      <w:iCs w:val="0"/>
      <w:color w:val="44546A" w:themeColor="text2"/>
      <w:kern w:val="20"/>
      <w:sz w:val="18"/>
      <w:szCs w:val="20"/>
      <w14:ligatures w14:val="none"/>
    </w:rPr>
  </w:style>
  <w:style w:type="paragraph" w:styleId="TDC2">
    <w:name w:val="toc 2"/>
    <w:basedOn w:val="Normal"/>
    <w:next w:val="Normal"/>
    <w:autoRedefine/>
    <w:uiPriority w:val="39"/>
    <w:unhideWhenUsed/>
    <w:rsid w:val="00584E07"/>
    <w:pPr>
      <w:spacing w:after="100" w:line="240" w:lineRule="auto"/>
      <w:ind w:left="240"/>
      <w:jc w:val="both"/>
    </w:pPr>
    <w:rPr>
      <w:rFonts w:eastAsia="Calibri" w:cs="Times New Roman"/>
      <w:kern w:val="0"/>
      <w:sz w:val="24"/>
      <w14:ligatures w14:val="none"/>
    </w:rPr>
  </w:style>
  <w:style w:type="paragraph" w:styleId="TDC1">
    <w:name w:val="toc 1"/>
    <w:basedOn w:val="Normal"/>
    <w:next w:val="Normal"/>
    <w:autoRedefine/>
    <w:uiPriority w:val="39"/>
    <w:unhideWhenUsed/>
    <w:rsid w:val="00C3054C"/>
    <w:pPr>
      <w:spacing w:after="100"/>
    </w:pPr>
  </w:style>
  <w:style w:type="paragraph" w:styleId="TDC3">
    <w:name w:val="toc 3"/>
    <w:basedOn w:val="Normal"/>
    <w:next w:val="Normal"/>
    <w:autoRedefine/>
    <w:uiPriority w:val="39"/>
    <w:unhideWhenUsed/>
    <w:rsid w:val="00C3054C"/>
    <w:pPr>
      <w:spacing w:after="100"/>
      <w:ind w:left="440"/>
    </w:pPr>
  </w:style>
  <w:style w:type="character" w:styleId="Hipervnculo">
    <w:name w:val="Hyperlink"/>
    <w:basedOn w:val="Fuentedeprrafopredeter"/>
    <w:uiPriority w:val="99"/>
    <w:unhideWhenUsed/>
    <w:rsid w:val="00C3054C"/>
    <w:rPr>
      <w:color w:val="0563C1" w:themeColor="hyperlink"/>
      <w:u w:val="single"/>
    </w:rPr>
  </w:style>
  <w:style w:type="paragraph" w:styleId="Tabladeilustraciones">
    <w:name w:val="table of figures"/>
    <w:basedOn w:val="Normal"/>
    <w:next w:val="Normal"/>
    <w:uiPriority w:val="99"/>
    <w:unhideWhenUsed/>
    <w:rsid w:val="00C3054C"/>
    <w:pPr>
      <w:spacing w:after="0"/>
    </w:pPr>
  </w:style>
  <w:style w:type="character" w:customStyle="1" w:styleId="CommentReference">
    <w:name w:val="Comment Reference"/>
    <w:basedOn w:val="Fuentedeprrafopredeter"/>
    <w:uiPriority w:val="99"/>
    <w:semiHidden/>
    <w:unhideWhenUsed/>
    <w:rsid w:val="007D4CFF"/>
    <w:rPr>
      <w:sz w:val="16"/>
      <w:szCs w:val="16"/>
    </w:rPr>
  </w:style>
  <w:style w:type="paragraph" w:customStyle="1" w:styleId="CommentText">
    <w:name w:val="Comment Text"/>
    <w:basedOn w:val="Normal"/>
    <w:link w:val="CommentTextChar"/>
    <w:uiPriority w:val="99"/>
    <w:unhideWhenUsed/>
    <w:rsid w:val="007D4CFF"/>
    <w:pPr>
      <w:spacing w:line="240" w:lineRule="auto"/>
    </w:pPr>
    <w:rPr>
      <w:sz w:val="20"/>
      <w:szCs w:val="20"/>
    </w:rPr>
  </w:style>
  <w:style w:type="character" w:customStyle="1" w:styleId="CommentTextChar">
    <w:name w:val="Comment Text Char"/>
    <w:basedOn w:val="Fuentedeprrafopredeter"/>
    <w:link w:val="CommentText"/>
    <w:uiPriority w:val="99"/>
    <w:rsid w:val="007D4CFF"/>
    <w:rPr>
      <w:sz w:val="20"/>
      <w:szCs w:val="20"/>
    </w:rPr>
  </w:style>
  <w:style w:type="paragraph" w:customStyle="1" w:styleId="CommentSubject">
    <w:name w:val="Comment Subject"/>
    <w:basedOn w:val="CommentText"/>
    <w:next w:val="CommentText"/>
    <w:link w:val="CommentSubjectChar"/>
    <w:uiPriority w:val="99"/>
    <w:semiHidden/>
    <w:unhideWhenUsed/>
    <w:rsid w:val="007D4CFF"/>
    <w:rPr>
      <w:b/>
      <w:bCs/>
    </w:rPr>
  </w:style>
  <w:style w:type="character" w:customStyle="1" w:styleId="CommentSubjectChar">
    <w:name w:val="Comment Subject Char"/>
    <w:basedOn w:val="CommentTextChar"/>
    <w:link w:val="CommentSubject"/>
    <w:uiPriority w:val="99"/>
    <w:semiHidden/>
    <w:rsid w:val="007D4CFF"/>
    <w:rPr>
      <w:b/>
      <w:bCs/>
      <w:sz w:val="20"/>
      <w:szCs w:val="20"/>
    </w:rPr>
  </w:style>
  <w:style w:type="paragraph" w:styleId="Revisin">
    <w:name w:val="Revision"/>
    <w:hidden/>
    <w:uiPriority w:val="99"/>
    <w:semiHidden/>
    <w:rsid w:val="003221CB"/>
    <w:pPr>
      <w:spacing w:after="0" w:line="240" w:lineRule="auto"/>
    </w:pPr>
  </w:style>
  <w:style w:type="character" w:customStyle="1" w:styleId="normaltextrun">
    <w:name w:val="normaltextrun"/>
    <w:basedOn w:val="Fuentedeprrafopredeter"/>
    <w:rsid w:val="003221CB"/>
  </w:style>
  <w:style w:type="character" w:styleId="nfasis">
    <w:name w:val="Emphasis"/>
    <w:basedOn w:val="Fuentedeprrafopredeter"/>
    <w:uiPriority w:val="20"/>
    <w:qFormat/>
    <w:rsid w:val="001D1A15"/>
    <w:rPr>
      <w:i/>
      <w:iCs/>
    </w:rPr>
  </w:style>
  <w:style w:type="paragraph" w:styleId="NormalWeb">
    <w:name w:val="Normal (Web)"/>
    <w:basedOn w:val="Normal"/>
    <w:uiPriority w:val="99"/>
    <w:unhideWhenUsed/>
    <w:rsid w:val="00165BD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Fuerte">
    <w:name w:val="Strong"/>
    <w:basedOn w:val="Fuentedeprrafopredeter"/>
    <w:uiPriority w:val="22"/>
    <w:qFormat/>
    <w:rsid w:val="000E066A"/>
    <w:rPr>
      <w:b/>
      <w:bCs/>
    </w:rPr>
  </w:style>
  <w:style w:type="paragraph" w:customStyle="1" w:styleId="paragraph">
    <w:name w:val="paragraph"/>
    <w:basedOn w:val="Normal"/>
    <w:rsid w:val="0087193C"/>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table" w:styleId="Tablaconcuadrcula4-nfasis1">
    <w:name w:val="Grid Table 4 Accent 1"/>
    <w:basedOn w:val="Tablanormal"/>
    <w:uiPriority w:val="49"/>
    <w:rsid w:val="00755617"/>
    <w:pPr>
      <w:spacing w:after="0" w:line="240" w:lineRule="auto"/>
    </w:pPr>
    <w:rPr>
      <w:rFonts w:ascii="Calibri" w:eastAsia="Calibri" w:hAnsi="Calibri" w:cs="Times New Roman"/>
      <w:kern w:val="0"/>
      <w:sz w:val="20"/>
      <w:szCs w:val="20"/>
      <w:lang w:eastAsia="es-CO"/>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tuloTDC">
    <w:name w:val="TOC Heading"/>
    <w:basedOn w:val="Ttulo1"/>
    <w:next w:val="Normal"/>
    <w:uiPriority w:val="39"/>
    <w:unhideWhenUsed/>
    <w:qFormat/>
    <w:rsid w:val="00863BF6"/>
    <w:pPr>
      <w:numPr>
        <w:numId w:val="0"/>
      </w:numPr>
      <w:outlineLvl w:val="9"/>
    </w:pPr>
    <w:rPr>
      <w:kern w:val="0"/>
      <w:lang w:val="en-US"/>
      <w14:ligatures w14:val="none"/>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83649">
      <w:bodyDiv w:val="1"/>
      <w:marLeft w:val="0"/>
      <w:marRight w:val="0"/>
      <w:marTop w:val="0"/>
      <w:marBottom w:val="0"/>
      <w:divBdr>
        <w:top w:val="none" w:sz="0" w:space="0" w:color="auto"/>
        <w:left w:val="none" w:sz="0" w:space="0" w:color="auto"/>
        <w:bottom w:val="none" w:sz="0" w:space="0" w:color="auto"/>
        <w:right w:val="none" w:sz="0" w:space="0" w:color="auto"/>
      </w:divBdr>
    </w:div>
    <w:div w:id="269899093">
      <w:bodyDiv w:val="1"/>
      <w:marLeft w:val="0"/>
      <w:marRight w:val="0"/>
      <w:marTop w:val="0"/>
      <w:marBottom w:val="0"/>
      <w:divBdr>
        <w:top w:val="none" w:sz="0" w:space="0" w:color="auto"/>
        <w:left w:val="none" w:sz="0" w:space="0" w:color="auto"/>
        <w:bottom w:val="none" w:sz="0" w:space="0" w:color="auto"/>
        <w:right w:val="none" w:sz="0" w:space="0" w:color="auto"/>
      </w:divBdr>
    </w:div>
    <w:div w:id="408619632">
      <w:bodyDiv w:val="1"/>
      <w:marLeft w:val="0"/>
      <w:marRight w:val="0"/>
      <w:marTop w:val="0"/>
      <w:marBottom w:val="0"/>
      <w:divBdr>
        <w:top w:val="none" w:sz="0" w:space="0" w:color="auto"/>
        <w:left w:val="none" w:sz="0" w:space="0" w:color="auto"/>
        <w:bottom w:val="none" w:sz="0" w:space="0" w:color="auto"/>
        <w:right w:val="none" w:sz="0" w:space="0" w:color="auto"/>
      </w:divBdr>
      <w:divsChild>
        <w:div w:id="297759489">
          <w:marLeft w:val="0"/>
          <w:marRight w:val="0"/>
          <w:marTop w:val="0"/>
          <w:marBottom w:val="160"/>
          <w:divBdr>
            <w:top w:val="none" w:sz="0" w:space="0" w:color="auto"/>
            <w:left w:val="none" w:sz="0" w:space="0" w:color="auto"/>
            <w:bottom w:val="none" w:sz="0" w:space="0" w:color="auto"/>
            <w:right w:val="none" w:sz="0" w:space="0" w:color="auto"/>
          </w:divBdr>
        </w:div>
        <w:div w:id="118184582">
          <w:marLeft w:val="0"/>
          <w:marRight w:val="0"/>
          <w:marTop w:val="0"/>
          <w:marBottom w:val="160"/>
          <w:divBdr>
            <w:top w:val="none" w:sz="0" w:space="0" w:color="auto"/>
            <w:left w:val="none" w:sz="0" w:space="0" w:color="auto"/>
            <w:bottom w:val="none" w:sz="0" w:space="0" w:color="auto"/>
            <w:right w:val="none" w:sz="0" w:space="0" w:color="auto"/>
          </w:divBdr>
        </w:div>
        <w:div w:id="1823739154">
          <w:marLeft w:val="0"/>
          <w:marRight w:val="0"/>
          <w:marTop w:val="0"/>
          <w:marBottom w:val="160"/>
          <w:divBdr>
            <w:top w:val="none" w:sz="0" w:space="0" w:color="auto"/>
            <w:left w:val="none" w:sz="0" w:space="0" w:color="auto"/>
            <w:bottom w:val="none" w:sz="0" w:space="0" w:color="auto"/>
            <w:right w:val="none" w:sz="0" w:space="0" w:color="auto"/>
          </w:divBdr>
        </w:div>
        <w:div w:id="1736277610">
          <w:marLeft w:val="0"/>
          <w:marRight w:val="0"/>
          <w:marTop w:val="0"/>
          <w:marBottom w:val="160"/>
          <w:divBdr>
            <w:top w:val="none" w:sz="0" w:space="0" w:color="auto"/>
            <w:left w:val="none" w:sz="0" w:space="0" w:color="auto"/>
            <w:bottom w:val="none" w:sz="0" w:space="0" w:color="auto"/>
            <w:right w:val="none" w:sz="0" w:space="0" w:color="auto"/>
          </w:divBdr>
        </w:div>
        <w:div w:id="1452091494">
          <w:marLeft w:val="0"/>
          <w:marRight w:val="0"/>
          <w:marTop w:val="0"/>
          <w:marBottom w:val="160"/>
          <w:divBdr>
            <w:top w:val="none" w:sz="0" w:space="0" w:color="auto"/>
            <w:left w:val="none" w:sz="0" w:space="0" w:color="auto"/>
            <w:bottom w:val="none" w:sz="0" w:space="0" w:color="auto"/>
            <w:right w:val="none" w:sz="0" w:space="0" w:color="auto"/>
          </w:divBdr>
        </w:div>
        <w:div w:id="1651978344">
          <w:marLeft w:val="0"/>
          <w:marRight w:val="0"/>
          <w:marTop w:val="0"/>
          <w:marBottom w:val="160"/>
          <w:divBdr>
            <w:top w:val="none" w:sz="0" w:space="0" w:color="auto"/>
            <w:left w:val="none" w:sz="0" w:space="0" w:color="auto"/>
            <w:bottom w:val="none" w:sz="0" w:space="0" w:color="auto"/>
            <w:right w:val="none" w:sz="0" w:space="0" w:color="auto"/>
          </w:divBdr>
        </w:div>
      </w:divsChild>
    </w:div>
    <w:div w:id="411204152">
      <w:bodyDiv w:val="1"/>
      <w:marLeft w:val="0"/>
      <w:marRight w:val="0"/>
      <w:marTop w:val="0"/>
      <w:marBottom w:val="0"/>
      <w:divBdr>
        <w:top w:val="none" w:sz="0" w:space="0" w:color="auto"/>
        <w:left w:val="none" w:sz="0" w:space="0" w:color="auto"/>
        <w:bottom w:val="none" w:sz="0" w:space="0" w:color="auto"/>
        <w:right w:val="none" w:sz="0" w:space="0" w:color="auto"/>
      </w:divBdr>
    </w:div>
    <w:div w:id="497575044">
      <w:bodyDiv w:val="1"/>
      <w:marLeft w:val="0"/>
      <w:marRight w:val="0"/>
      <w:marTop w:val="0"/>
      <w:marBottom w:val="0"/>
      <w:divBdr>
        <w:top w:val="none" w:sz="0" w:space="0" w:color="auto"/>
        <w:left w:val="none" w:sz="0" w:space="0" w:color="auto"/>
        <w:bottom w:val="none" w:sz="0" w:space="0" w:color="auto"/>
        <w:right w:val="none" w:sz="0" w:space="0" w:color="auto"/>
      </w:divBdr>
    </w:div>
    <w:div w:id="735014892">
      <w:bodyDiv w:val="1"/>
      <w:marLeft w:val="0"/>
      <w:marRight w:val="0"/>
      <w:marTop w:val="0"/>
      <w:marBottom w:val="0"/>
      <w:divBdr>
        <w:top w:val="none" w:sz="0" w:space="0" w:color="auto"/>
        <w:left w:val="none" w:sz="0" w:space="0" w:color="auto"/>
        <w:bottom w:val="none" w:sz="0" w:space="0" w:color="auto"/>
        <w:right w:val="none" w:sz="0" w:space="0" w:color="auto"/>
      </w:divBdr>
    </w:div>
    <w:div w:id="777287390">
      <w:bodyDiv w:val="1"/>
      <w:marLeft w:val="0"/>
      <w:marRight w:val="0"/>
      <w:marTop w:val="0"/>
      <w:marBottom w:val="0"/>
      <w:divBdr>
        <w:top w:val="none" w:sz="0" w:space="0" w:color="auto"/>
        <w:left w:val="none" w:sz="0" w:space="0" w:color="auto"/>
        <w:bottom w:val="none" w:sz="0" w:space="0" w:color="auto"/>
        <w:right w:val="none" w:sz="0" w:space="0" w:color="auto"/>
      </w:divBdr>
    </w:div>
    <w:div w:id="845554350">
      <w:bodyDiv w:val="1"/>
      <w:marLeft w:val="0"/>
      <w:marRight w:val="0"/>
      <w:marTop w:val="0"/>
      <w:marBottom w:val="0"/>
      <w:divBdr>
        <w:top w:val="none" w:sz="0" w:space="0" w:color="auto"/>
        <w:left w:val="none" w:sz="0" w:space="0" w:color="auto"/>
        <w:bottom w:val="none" w:sz="0" w:space="0" w:color="auto"/>
        <w:right w:val="none" w:sz="0" w:space="0" w:color="auto"/>
      </w:divBdr>
    </w:div>
    <w:div w:id="852379918">
      <w:bodyDiv w:val="1"/>
      <w:marLeft w:val="0"/>
      <w:marRight w:val="0"/>
      <w:marTop w:val="0"/>
      <w:marBottom w:val="0"/>
      <w:divBdr>
        <w:top w:val="none" w:sz="0" w:space="0" w:color="auto"/>
        <w:left w:val="none" w:sz="0" w:space="0" w:color="auto"/>
        <w:bottom w:val="none" w:sz="0" w:space="0" w:color="auto"/>
        <w:right w:val="none" w:sz="0" w:space="0" w:color="auto"/>
      </w:divBdr>
    </w:div>
    <w:div w:id="919827990">
      <w:bodyDiv w:val="1"/>
      <w:marLeft w:val="0"/>
      <w:marRight w:val="0"/>
      <w:marTop w:val="0"/>
      <w:marBottom w:val="0"/>
      <w:divBdr>
        <w:top w:val="none" w:sz="0" w:space="0" w:color="auto"/>
        <w:left w:val="none" w:sz="0" w:space="0" w:color="auto"/>
        <w:bottom w:val="none" w:sz="0" w:space="0" w:color="auto"/>
        <w:right w:val="none" w:sz="0" w:space="0" w:color="auto"/>
      </w:divBdr>
    </w:div>
    <w:div w:id="997346056">
      <w:bodyDiv w:val="1"/>
      <w:marLeft w:val="0"/>
      <w:marRight w:val="0"/>
      <w:marTop w:val="0"/>
      <w:marBottom w:val="0"/>
      <w:divBdr>
        <w:top w:val="none" w:sz="0" w:space="0" w:color="auto"/>
        <w:left w:val="none" w:sz="0" w:space="0" w:color="auto"/>
        <w:bottom w:val="none" w:sz="0" w:space="0" w:color="auto"/>
        <w:right w:val="none" w:sz="0" w:space="0" w:color="auto"/>
      </w:divBdr>
    </w:div>
    <w:div w:id="1222784812">
      <w:bodyDiv w:val="1"/>
      <w:marLeft w:val="0"/>
      <w:marRight w:val="0"/>
      <w:marTop w:val="0"/>
      <w:marBottom w:val="0"/>
      <w:divBdr>
        <w:top w:val="none" w:sz="0" w:space="0" w:color="auto"/>
        <w:left w:val="none" w:sz="0" w:space="0" w:color="auto"/>
        <w:bottom w:val="none" w:sz="0" w:space="0" w:color="auto"/>
        <w:right w:val="none" w:sz="0" w:space="0" w:color="auto"/>
      </w:divBdr>
    </w:div>
    <w:div w:id="1566256401">
      <w:bodyDiv w:val="1"/>
      <w:marLeft w:val="0"/>
      <w:marRight w:val="0"/>
      <w:marTop w:val="0"/>
      <w:marBottom w:val="0"/>
      <w:divBdr>
        <w:top w:val="none" w:sz="0" w:space="0" w:color="auto"/>
        <w:left w:val="none" w:sz="0" w:space="0" w:color="auto"/>
        <w:bottom w:val="none" w:sz="0" w:space="0" w:color="auto"/>
        <w:right w:val="none" w:sz="0" w:space="0" w:color="auto"/>
      </w:divBdr>
      <w:divsChild>
        <w:div w:id="220211354">
          <w:marLeft w:val="0"/>
          <w:marRight w:val="0"/>
          <w:marTop w:val="0"/>
          <w:marBottom w:val="160"/>
          <w:divBdr>
            <w:top w:val="none" w:sz="0" w:space="0" w:color="auto"/>
            <w:left w:val="none" w:sz="0" w:space="0" w:color="auto"/>
            <w:bottom w:val="none" w:sz="0" w:space="0" w:color="auto"/>
            <w:right w:val="none" w:sz="0" w:space="0" w:color="auto"/>
          </w:divBdr>
        </w:div>
        <w:div w:id="842742601">
          <w:marLeft w:val="0"/>
          <w:marRight w:val="0"/>
          <w:marTop w:val="0"/>
          <w:marBottom w:val="160"/>
          <w:divBdr>
            <w:top w:val="none" w:sz="0" w:space="0" w:color="auto"/>
            <w:left w:val="none" w:sz="0" w:space="0" w:color="auto"/>
            <w:bottom w:val="none" w:sz="0" w:space="0" w:color="auto"/>
            <w:right w:val="none" w:sz="0" w:space="0" w:color="auto"/>
          </w:divBdr>
        </w:div>
        <w:div w:id="2018582031">
          <w:marLeft w:val="0"/>
          <w:marRight w:val="0"/>
          <w:marTop w:val="0"/>
          <w:marBottom w:val="160"/>
          <w:divBdr>
            <w:top w:val="none" w:sz="0" w:space="0" w:color="auto"/>
            <w:left w:val="none" w:sz="0" w:space="0" w:color="auto"/>
            <w:bottom w:val="none" w:sz="0" w:space="0" w:color="auto"/>
            <w:right w:val="none" w:sz="0" w:space="0" w:color="auto"/>
          </w:divBdr>
        </w:div>
        <w:div w:id="1108891167">
          <w:marLeft w:val="0"/>
          <w:marRight w:val="0"/>
          <w:marTop w:val="0"/>
          <w:marBottom w:val="160"/>
          <w:divBdr>
            <w:top w:val="none" w:sz="0" w:space="0" w:color="auto"/>
            <w:left w:val="none" w:sz="0" w:space="0" w:color="auto"/>
            <w:bottom w:val="none" w:sz="0" w:space="0" w:color="auto"/>
            <w:right w:val="none" w:sz="0" w:space="0" w:color="auto"/>
          </w:divBdr>
        </w:div>
        <w:div w:id="30493655">
          <w:marLeft w:val="0"/>
          <w:marRight w:val="0"/>
          <w:marTop w:val="0"/>
          <w:marBottom w:val="160"/>
          <w:divBdr>
            <w:top w:val="none" w:sz="0" w:space="0" w:color="auto"/>
            <w:left w:val="none" w:sz="0" w:space="0" w:color="auto"/>
            <w:bottom w:val="none" w:sz="0" w:space="0" w:color="auto"/>
            <w:right w:val="none" w:sz="0" w:space="0" w:color="auto"/>
          </w:divBdr>
        </w:div>
        <w:div w:id="665716749">
          <w:marLeft w:val="0"/>
          <w:marRight w:val="0"/>
          <w:marTop w:val="0"/>
          <w:marBottom w:val="160"/>
          <w:divBdr>
            <w:top w:val="none" w:sz="0" w:space="0" w:color="auto"/>
            <w:left w:val="none" w:sz="0" w:space="0" w:color="auto"/>
            <w:bottom w:val="none" w:sz="0" w:space="0" w:color="auto"/>
            <w:right w:val="none" w:sz="0" w:space="0" w:color="auto"/>
          </w:divBdr>
        </w:div>
      </w:divsChild>
    </w:div>
    <w:div w:id="1744449402">
      <w:bodyDiv w:val="1"/>
      <w:marLeft w:val="0"/>
      <w:marRight w:val="0"/>
      <w:marTop w:val="0"/>
      <w:marBottom w:val="0"/>
      <w:divBdr>
        <w:top w:val="none" w:sz="0" w:space="0" w:color="auto"/>
        <w:left w:val="none" w:sz="0" w:space="0" w:color="auto"/>
        <w:bottom w:val="none" w:sz="0" w:space="0" w:color="auto"/>
        <w:right w:val="none" w:sz="0" w:space="0" w:color="auto"/>
      </w:divBdr>
    </w:div>
    <w:div w:id="1769504722">
      <w:bodyDiv w:val="1"/>
      <w:marLeft w:val="0"/>
      <w:marRight w:val="0"/>
      <w:marTop w:val="0"/>
      <w:marBottom w:val="0"/>
      <w:divBdr>
        <w:top w:val="none" w:sz="0" w:space="0" w:color="auto"/>
        <w:left w:val="none" w:sz="0" w:space="0" w:color="auto"/>
        <w:bottom w:val="none" w:sz="0" w:space="0" w:color="auto"/>
        <w:right w:val="none" w:sz="0" w:space="0" w:color="auto"/>
      </w:divBdr>
    </w:div>
    <w:div w:id="1845780137">
      <w:bodyDiv w:val="1"/>
      <w:marLeft w:val="0"/>
      <w:marRight w:val="0"/>
      <w:marTop w:val="0"/>
      <w:marBottom w:val="0"/>
      <w:divBdr>
        <w:top w:val="none" w:sz="0" w:space="0" w:color="auto"/>
        <w:left w:val="none" w:sz="0" w:space="0" w:color="auto"/>
        <w:bottom w:val="none" w:sz="0" w:space="0" w:color="auto"/>
        <w:right w:val="none" w:sz="0" w:space="0" w:color="auto"/>
      </w:divBdr>
    </w:div>
    <w:div w:id="1942030686">
      <w:bodyDiv w:val="1"/>
      <w:marLeft w:val="0"/>
      <w:marRight w:val="0"/>
      <w:marTop w:val="0"/>
      <w:marBottom w:val="0"/>
      <w:divBdr>
        <w:top w:val="none" w:sz="0" w:space="0" w:color="auto"/>
        <w:left w:val="none" w:sz="0" w:space="0" w:color="auto"/>
        <w:bottom w:val="none" w:sz="0" w:space="0" w:color="auto"/>
        <w:right w:val="none" w:sz="0" w:space="0" w:color="auto"/>
      </w:divBdr>
    </w:div>
    <w:div w:id="211617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Min21</b:Tag>
    <b:SourceType>Report</b:SourceType>
    <b:Guid>{D907D3DD-4F83-448A-86E7-64DC5DCD2E24}</b:Guid>
    <b:Author>
      <b:Author>
        <b:Corporate>Minambiente</b:Corporate>
      </b:Author>
    </b:Author>
    <b:Title>Resolucion 1608 de 2021</b:Title>
    <b:Year>2021</b:Year>
    <b:URL>https://www.minambiente.gov.co/wp-content/uploads/2022/02/Resolucion-1608-de-2021.pdf</b:URL>
    <b:RefOrder>6</b:RefOrder>
  </b:Source>
  <b:Source>
    <b:Tag>DNP</b:Tag>
    <b:SourceType>Report</b:SourceType>
    <b:Guid>{B27DAF4A-7829-4AFA-96C6-CDEED7D22656}</b:Guid>
    <b:Title>PND 2018 - 2022</b:Title>
    <b:Author>
      <b:Author>
        <b:Corporate>DNP</b:Corporate>
      </b:Author>
    </b:Author>
    <b:URL>https://colaboracion.dnp.gov.co/CDT/Prensa/Resumen-PND2018-2022-final.pdf</b:URL>
    <b:Year>2018</b:Year>
    <b:RefOrder>7</b:RefOrder>
  </b:Source>
  <b:Source>
    <b:Tag>Gob18</b:Tag>
    <b:SourceType>Report</b:SourceType>
    <b:Guid>{EA65CD36-3245-4B3C-AF52-1E9E7DB5B4F2}</b:Guid>
    <b:Title>Paz con Legalidad</b:Title>
    <b:Year>2018</b:Year>
    <b:Author>
      <b:Author>
        <b:Corporate>Gobierno de Colombia</b:Corporate>
      </b:Author>
    </b:Author>
    <b:URL>https://www.reincorporacion.gov.co/es/reincorporacion/Documents/Politica_PAZ_CON_LEGALIDAD_Consejeria_Estabilizacion.pdf</b:URL>
    <b:RefOrder>8</b:RefOrder>
  </b:Source>
  <b:Source>
    <b:Tag>Dec21</b:Tag>
    <b:SourceType>Report</b:SourceType>
    <b:Guid>{6259CCBE-0954-46B2-9FF8-035605D874E7}</b:Guid>
    <b:Title>Decreto 1076 de 2015</b:Title>
    <b:Year>2021</b:Year>
    <b:URL>https://www.funcionpublica.gov.co/eva/gestornormativo/norma.php?i=78153</b:URL>
    <b:Author>
      <b:Author>
        <b:Corporate>Gobierno de Colombia</b:Corporate>
      </b:Author>
    </b:Author>
    <b:RefOrder>9</b:RefOrder>
  </b:Source>
  <b:Source>
    <b:Tag>Gob</b:Tag>
    <b:SourceType>Report</b:SourceType>
    <b:Guid>{C6754334-A56D-47FA-8088-A8B90D43A5CB}</b:Guid>
    <b:Title>Decreto 2372 de 2010</b:Title>
    <b:Author>
      <b:Author>
        <b:Corporate>Gobierno de Colombia</b:Corporate>
      </b:Author>
    </b:Author>
    <b:URL>https://www.funcionpublica.gov.co/eva/gestornormativo/norma.php?i=39961</b:URL>
    <b:Year>2010</b:Year>
    <b:RefOrder>10</b:RefOrder>
  </b:Source>
  <b:Source>
    <b:Tag>Min18</b:Tag>
    <b:SourceType>Report</b:SourceType>
    <b:Guid>{BB664F0E-D14F-4847-BA38-1AD1CCFE4478}</b:Guid>
    <b:Author>
      <b:Author>
        <b:Corporate>Ministerio de Agricultura y Desarrollo Rural</b:Corporate>
      </b:Author>
    </b:Author>
    <b:Title>Resolucion 061 de 2018</b:Title>
    <b:Year>2018</b:Year>
    <b:URL>https://www.minagricultura.gov.co/Normatividad/Resoluciones/Resoluci%C3%B3n%20No%20000261%20de%202018.pdf</b:URL>
    <b:RefOrder>11</b:RefOrder>
  </b:Source>
  <b:Source>
    <b:Tag>Min53</b:Tag>
    <b:SourceType>Report</b:SourceType>
    <b:Guid>{485EFA2B-E25D-4D1F-97CA-6E17135EDC36}</b:Guid>
    <b:Title>Decreto 2278 de 1953</b:Title>
    <b:Year>1953</b:Year>
    <b:Author>
      <b:Author>
        <b:Corporate>Ministerio de Agricultura y Desarrollo rural</b:Corporate>
      </b:Author>
    </b:Author>
    <b:URL>https://www.redjurista.com/Documents/decreto_2278_de_1953_poder_ejecutivo.aspx#/</b:URL>
    <b:RefOrder>12</b:RefOrder>
  </b:Source>
  <b:Source>
    <b:Tag>Gob74</b:Tag>
    <b:SourceType>Report</b:SourceType>
    <b:Guid>{C9CD35D8-6009-4C52-999A-E5C9F3E18F90}</b:Guid>
    <b:Title>Decreto 2811 de 1974</b:Title>
    <b:Year>1974</b:Year>
    <b:Author>
      <b:Author>
        <b:Corporate>Gobierno Nacional</b:Corporate>
      </b:Author>
    </b:Author>
    <b:DOI>https://www.funcionpublica.gov.co/eva/gestornormativo/norma.php?i=1551#:~:text=%2D%20El%20Gobierno%20procurar%C3%A1%20evitar%20o,all%C3%A1%20de%20la%20jurisdicci%C3%B3n%20territorial.</b:DOI>
    <b:RefOrder>13</b:RefOrder>
  </b:Source>
  <b:Source>
    <b:Tag>Gob11</b:Tag>
    <b:SourceType>Report</b:SourceType>
    <b:Guid>{B27D5217-F92A-428E-A06E-0E3992955F25}</b:Guid>
    <b:Title>Ley 1450 de 2011</b:Title>
    <b:Year>2011</b:Year>
    <b:Author>
      <b:Author>
        <b:Corporate>Gobierno Nacional</b:Corporate>
      </b:Author>
    </b:Author>
    <b:URL>https://www.procuraduria.gov.co/portal/media/file/docs/ddr/CompiladoNormativo_Parte3.pdf</b:URL>
    <b:RefOrder>14</b:RefOrder>
  </b:Source>
  <b:Source>
    <b:Tag>Gob111</b:Tag>
    <b:SourceType>Report</b:SourceType>
    <b:Guid>{A360BF5C-3026-4E5C-9096-FBDBB8FB5FBF}</b:Guid>
    <b:Title>Decreto 3570 de 2011</b:Title>
    <b:Year>2011</b:Year>
    <b:Author>
      <b:Author>
        <b:Corporate>Gobierno de Colombia</b:Corporate>
      </b:Author>
    </b:Author>
    <b:URL>https://www.minambiente.gov.co/documento-mi/decreto-3570-de-2011/</b:URL>
    <b:RefOrder>15</b:RefOrder>
  </b:Source>
  <b:Source>
    <b:Tag>Cor11</b:Tag>
    <b:SourceType>Book</b:SourceType>
    <b:Guid>{467F0791-9C9C-44AA-817E-D069E4E61F36}</b:Guid>
    <b:Author>
      <b:Author>
        <b:NameList>
          <b:Person>
            <b:Last>Corzo</b:Last>
            <b:First>Germán</b:First>
          </b:Person>
          <b:Person>
            <b:Last>Londoño-Murcia</b:Last>
            <b:First>María</b:First>
            <b:Middle>Cecilia</b:Middle>
          </b:Person>
          <b:Person>
            <b:Last>Ramírez</b:Last>
            <b:First>Wilson</b:First>
          </b:Person>
          <b:Person>
            <b:Last>García</b:Last>
            <b:First>Hernando</b:First>
          </b:Person>
          <b:Person>
            <b:Last>Lasso</b:Last>
            <b:First>Carlos</b:First>
            <b:Middle>A.</b:Middle>
          </b:Person>
          <b:Person>
            <b:Last>Salamanca</b:Last>
            <b:First>Bibiana</b:First>
          </b:Person>
        </b:NameList>
      </b:Author>
    </b:Author>
    <b:Title>Planeación ambiental para la conservación de la biodiversidad en las áreas operativas de Ecopetrol localizadas en el Magdalena Medio y los Llanos Orientales de Colombia</b:Title>
    <b:Year>2011</b:Year>
    <b:City>Bogotá D.C</b:City>
    <b:Publisher>Instituto Alexander von Humboldt y Ecopetrol S.A</b:Publisher>
    <b:RefOrder>2</b:RefOrder>
  </b:Source>
  <b:Source>
    <b:Tag>Bar14</b:Tag>
    <b:SourceType>Report</b:SourceType>
    <b:Guid>{094B13FF-5238-4A18-84A1-DEABB8ADB477}</b:Guid>
    <b:Title>ECOSER: Protocolo colaborativo de evaluación y mapeo de servicios ecosistémicos y vulnerabilidad socio-ecológica para el ordenamiento territorial. Tutorial para el mapeo de funciones ecosistémicas y servicios ecosistémicos. Version 2.0</b:Title>
    <b:Year>2014</b:Year>
    <b:City>Mar del Plata, Argentina</b:City>
    <b:Publisher>ECOSER</b:Publisher>
    <b:Author>
      <b:Author>
        <b:NameList>
          <b:Person>
            <b:Last>Barral</b:Last>
            <b:First>María</b:First>
            <b:Middle>Paula</b:Middle>
          </b:Person>
        </b:NameList>
      </b:Author>
    </b:Author>
    <b:RefOrder>3</b:RefOrder>
  </b:Source>
</b:Sources>
</file>

<file path=customXml/itemProps1.xml><?xml version="1.0" encoding="utf-8"?>
<ds:datastoreItem xmlns:ds="http://schemas.openxmlformats.org/officeDocument/2006/customXml" ds:itemID="{A8E74142-DB67-4CD7-B84F-5582270B6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22550</Words>
  <Characters>124029</Characters>
  <Application>Microsoft Office Word</Application>
  <DocSecurity>0</DocSecurity>
  <Lines>1033</Lines>
  <Paragraphs>292</Paragraphs>
  <ScaleCrop>false</ScaleCrop>
  <Company/>
  <LinksUpToDate>false</LinksUpToDate>
  <CharactersWithSpaces>146287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 Leon Cruz</dc:creator>
  <cp:keywords/>
  <dc:description/>
  <cp:lastModifiedBy>Azalia Ines Parra Cuellar</cp:lastModifiedBy>
  <cp:revision>42</cp:revision>
  <cp:lastPrinted>2025-01-31T20:13:00Z</cp:lastPrinted>
  <dcterms:created xsi:type="dcterms:W3CDTF">2026-03-20T22:44:00Z</dcterms:created>
  <dcterms:modified xsi:type="dcterms:W3CDTF">2026-03-27T21:57:00Z</dcterms:modified>
</cp:coreProperties>
</file>